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采购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急诊楼安装防蚊纱窗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二.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1.4万元</w:t>
      </w:r>
    </w:p>
    <w:p>
      <w:pPr>
        <w:pStyle w:val="2"/>
        <w:spacing w:line="570" w:lineRule="atLeast"/>
        <w:rPr>
          <w:rFonts w:hint="eastAsia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eastAsia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.项目介绍：</w:t>
      </w:r>
    </w:p>
    <w:p>
      <w:pPr>
        <w:spacing w:line="360" w:lineRule="auto"/>
        <w:ind w:firstLine="560" w:firstLineChars="200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成都市金牛区妇幼保健院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急诊楼76扇窗户安装防蚊纱窗项目。</w:t>
      </w:r>
    </w:p>
    <w:p>
      <w:pPr>
        <w:pStyle w:val="2"/>
        <w:spacing w:line="570" w:lineRule="atLeast"/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黑体_GBK" w:cs="Times New Roman"/>
          <w:sz w:val="28"/>
          <w:szCs w:val="28"/>
          <w:highlight w:val="none"/>
          <w:lang w:val="en-US" w:eastAsia="zh-CN"/>
          <w14:ligatures w14:val="standardContextual"/>
        </w:rPr>
        <w:t>四.服务要求：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1.商务服务要求：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① 履行期限，自合同签订起7个工作日内。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② 履行地点：成都市金牛区妇幼保健院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③ 包装和运输：由供方送至急诊楼。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④ 安装时间在合同签订起7个工作日内在成都市妇幼保健院完成。</w:t>
      </w:r>
    </w:p>
    <w:p>
      <w:pPr>
        <w:ind w:left="0" w:leftChars="0"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⑤ 付款条件：合同签订起安装验收后30个工作日支付完成。资金支付方式：公款公户。</w:t>
      </w:r>
    </w:p>
    <w:p>
      <w:pPr>
        <w:ind w:left="279" w:leftChars="133" w:firstLine="0" w:firstLineChars="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⑥ 验收交付标准和方法：购方派遣人员检验纱窗是否正常使用。⑦ 售后服务：若产生质量售后问题，由卖方解决，例如不能正常开关，钥匙不能打开等。非质量问题买方联系卖方协商解决。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⑧ 质量保修范围和保修期：不能正常开关，钥匙不能打开等。保修期：12个月。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⑨ 责任与解决方法：产品保修期内若产生质量问题，卖方无条件保修包换。产品过保修期后产生质量问题，由买方和卖方协商解决。</w:t>
      </w:r>
    </w:p>
    <w:p>
      <w:pPr>
        <w:ind w:left="461" w:leftChars="86" w:hanging="280" w:hangingChars="100"/>
        <w:rPr>
          <w:rFonts w:hint="default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2.防蚊纱窗参数要求：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 xml:space="preserve"> 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①材质为金刚网（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14:ligatures w14:val="standardContextual"/>
        </w:rPr>
        <w:t>用304不锈钢材质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:lang w:eastAsia="zh-CN"/>
          <w14:ligatures w14:val="standardContextual"/>
        </w:rPr>
        <w:t>；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14:ligatures w14:val="standardContextual"/>
        </w:rPr>
        <w:t>金刚纱网的不锈钢丝直径≥0.8mm，静电喷塑后网面厚度≥1.1mm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:lang w:eastAsia="zh-CN"/>
          <w14:ligatures w14:val="standardContextual"/>
        </w:rPr>
        <w:t>；</w:t>
      </w:r>
      <w:r>
        <w:rPr>
          <w:rFonts w:hint="eastAsia" w:ascii="Times New Roman" w:hAnsi="Times New Roman" w:eastAsia="方正仿宋_GBK" w:cs="Times New Roman"/>
          <w:i w:val="0"/>
          <w:caps w:val="0"/>
          <w:spacing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密度能达到防蚊虫效果；纱网参数：目数≥32</w:t>
      </w:r>
      <w: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  <w:t>）、边框为防锈防腐蚀铝合金材质、通用钥匙锁、纱窗颜色黑色。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②便于卸下来清洗消毒。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③规格：根据现场每扇窗户定制，每扇纱窗不超过1.1㎡。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  <w:t>④设计结构：如上下移动双节结构，需配备防脱落限位装置</w:t>
      </w:r>
    </w:p>
    <w:p>
      <w:pPr>
        <w:ind w:firstLine="280" w:firstLineChars="100"/>
        <w:rPr>
          <w:rFonts w:hint="eastAsia" w:ascii="Times New Roman" w:hAnsi="Times New Roman" w:eastAsia="方正仿宋_GBK" w:cs="Times New Roman"/>
          <w:b w:val="0"/>
          <w:bCs w:val="0"/>
          <w:sz w:val="28"/>
          <w:szCs w:val="28"/>
          <w:highlight w:val="none"/>
          <w:shd w:val="clear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 w:ascii="Times New Roman" w:hAnsi="Times New Roman" w:eastAsia="方正仿宋_GBK" w:cs="Times New Roman"/>
          <w:sz w:val="28"/>
          <w:szCs w:val="28"/>
          <w:highlight w:val="none"/>
          <w:lang w:val="en-US" w:eastAsia="zh-CN"/>
          <w14:ligatures w14:val="standardContextual"/>
        </w:rPr>
      </w:pPr>
    </w:p>
    <w:p>
      <w:pPr>
        <w:pStyle w:val="2"/>
        <w:rPr>
          <w:rFonts w:hint="eastAsia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rPr>
          <w:rFonts w:hint="default"/>
          <w:highlight w:val="none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bookmarkStart w:id="3" w:name="_GoBack"/>
      <w:bookmarkEnd w:id="3"/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报价表</w:t>
      </w:r>
    </w:p>
    <w:tbl>
      <w:tblPr>
        <w:tblStyle w:val="5"/>
        <w:tblW w:w="8287" w:type="dxa"/>
        <w:tblInd w:w="5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93"/>
        <w:gridCol w:w="2694"/>
      </w:tblGrid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5593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项目名称</w:t>
            </w:r>
          </w:p>
        </w:tc>
        <w:tc>
          <w:tcPr>
            <w:tcW w:w="269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报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  <w:lang w:val="en-US" w:eastAsia="zh-CN"/>
              </w:rPr>
              <w:t>价</w:t>
            </w:r>
            <w:r>
              <w:rPr>
                <w:rFonts w:hint="default" w:ascii="Times New Roman" w:hAnsi="Times New Roman" w:eastAsia="仿宋_GB2312" w:cs="Times New Roman"/>
                <w:color w:val="333333"/>
                <w:kern w:val="0"/>
                <w:sz w:val="28"/>
                <w:szCs w:val="28"/>
                <w:highlight w:val="none"/>
              </w:rPr>
              <w:t>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0" w:hRule="atLeast"/>
        </w:trPr>
        <w:tc>
          <w:tcPr>
            <w:tcW w:w="55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急诊科安装防蚊纱窗</w:t>
            </w:r>
            <w:r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项目</w:t>
            </w:r>
          </w:p>
        </w:tc>
        <w:tc>
          <w:tcPr>
            <w:tcW w:w="26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24"/>
                <w:szCs w:val="24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333333"/>
                <w:kern w:val="0"/>
                <w:sz w:val="18"/>
                <w:szCs w:val="18"/>
                <w:highlight w:val="none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1.报价应是最终用户验收合格后的总价，包括运输、保险、代理、安装调试、培训、税费和采购文件规定的其它费用。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  <w:bookmarkStart w:id="0" w:name="_Toc174767233"/>
      <w:bookmarkStart w:id="1" w:name="_Toc95295163"/>
      <w:bookmarkStart w:id="2" w:name="_Toc23734370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ascii="Times New Roman" w:hAnsi="Times New Roman" w:cs="Times New Roman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日期：   年    月 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2DA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First Indent"/>
    <w:basedOn w:val="2"/>
    <w:next w:val="1"/>
    <w:qFormat/>
    <w:uiPriority w:val="0"/>
    <w:pPr>
      <w:ind w:firstLine="420" w:firstLineChars="100"/>
    </w:pPr>
  </w:style>
  <w:style w:type="paragraph" w:styleId="4">
    <w:name w:val="Body Text Indent"/>
    <w:basedOn w:val="1"/>
    <w:qFormat/>
    <w:uiPriority w:val="99"/>
    <w:pPr>
      <w:spacing w:after="120"/>
      <w:ind w:left="420" w:leftChars="200"/>
    </w:pPr>
  </w:style>
  <w:style w:type="table" w:styleId="6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2025-04-28T08:02:30Z</dcterms:created>
  <dc:creator>OS</dc:creator>
  <cp:lastModifiedBy>們泊冬吴@^_^</cp:lastModifiedBy>
  <dcterms:modified xsi:type="dcterms:W3CDTF">2025-04-28T08:04:40Z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