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遴选 2025-2027 年度直饮机耗材供应商项目。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eastAsia="方正仿宋_GBK"/>
          <w:sz w:val="28"/>
          <w:szCs w:val="28"/>
          <w:lang w:val="en-US" w:eastAsia="zh-CN"/>
          <w14:ligatures w14:val="standardContextual"/>
        </w:rPr>
        <w:t>单价限价详见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耗材清单</w:t>
      </w:r>
      <w:r>
        <w:rPr>
          <w:rFonts w:hint="eastAsia" w:eastAsia="方正仿宋_GBK"/>
          <w:sz w:val="28"/>
          <w:szCs w:val="28"/>
          <w:lang w:val="en-US" w:eastAsia="zh-CN"/>
          <w14:ligatures w14:val="standardContextual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超过单价限价的报价，其比选申请文件作无效处理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标注“★”的条款为实质性要求，不满足按无效响应处理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(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1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)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.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耗材清单</w:t>
      </w:r>
    </w:p>
    <w:tbl>
      <w:tblPr>
        <w:tblStyle w:val="4"/>
        <w:tblW w:w="83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50"/>
        <w:gridCol w:w="1410"/>
        <w:gridCol w:w="4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耗材清单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限价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参数要求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进水电磁阀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废水电磁阀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55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出水电磁阀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增压泵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369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冷水泵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高压开关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PP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C1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提供涉及饮用水卫生安全产品卫生许可批件及CAM检测报告，根据《生活饮用水输配水设备及防护材料卫生安全评价规范》(2001)要求：无异臭异味；氟化物（mg/L）增加量≤0.10；铬（六价）（mg/L）增加量≤0.005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RO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1799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提供涉及饮用水卫生安全产品卫生许可批件及CAM检测报告，根据《生活饮用水输配水设备及防护材料卫生安全评价规范》(2001)要求：无异臭异味；氟化物（mg/L）增加量≤0.10；铬（六价）（mg/L）增加量≤0.005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C2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提供涉及饮用水卫生安全产品卫生许可批件及CAM检测报告，根据《生活饮用水输配水设备及防护材料卫生安全评价规范》(2001)要求：无异臭异味；氟化物（mg/L）增加量≤0.10；铬（六价）（mg/L）增加量≤0.005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显示板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261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电源板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UV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UV控制器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上门费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上门维修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★</w:t>
      </w:r>
      <w:r>
        <w:rPr>
          <w:rFonts w:hint="eastAsia" w:ascii="Times New Roman" w:hAnsi="Times New Roman" w:eastAsia="方正仿宋_GBK" w:cs="Times New Roman"/>
          <w:b w:val="0"/>
          <w:sz w:val="28"/>
          <w:szCs w:val="28"/>
          <w:lang w:val="en-US" w:eastAsia="zh-CN"/>
          <w14:ligatures w14:val="standardContextual"/>
        </w:rPr>
        <w:t>(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2).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直饮机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耗材适用于美的直饮机型号：MR0702A-D、R30（ZRO1823-H3）、挂壁式、MR0102-5等。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(3).服务期限：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/>
          <w14:ligatures w14:val="standardContextual"/>
        </w:rPr>
        <w:t>采购合同签订之日起</w:t>
      </w:r>
      <w:r>
        <w:rPr>
          <w:rFonts w:hint="eastAsia" w:ascii="Times New Roman" w:hAnsi="Times New Roman" w:eastAsia="方正仿宋_GBK" w:cs="Times New Roman"/>
          <w:sz w:val="28"/>
          <w:szCs w:val="28"/>
          <w14:ligatures w14:val="standardContextual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/>
          <w14:ligatures w14:val="standardContextual"/>
        </w:rPr>
        <w:t>年，</w:t>
      </w:r>
      <w:r>
        <w:rPr>
          <w:rFonts w:hint="eastAsia" w:ascii="Times New Roman" w:hAnsi="Times New Roman" w:eastAsia="方正仿宋_GBK" w:cs="Times New Roman"/>
          <w:sz w:val="28"/>
          <w:szCs w:val="28"/>
          <w14:ligatures w14:val="standardContextual"/>
        </w:rPr>
        <w:t>合同一年一签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  <w14:ligatures w14:val="standardContextual"/>
        </w:rPr>
        <w:t>。</w:t>
      </w: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089"/>
        <w:gridCol w:w="1290"/>
        <w:gridCol w:w="1785"/>
        <w:gridCol w:w="23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2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2025-01-20T08:49:10Z</dcterms:created>
  <dc:creator>OS</dc:creator>
  <cp:lastModifiedBy>們泊冬吴@^_^</cp:lastModifiedBy>
  <dcterms:modified xsi:type="dcterms:W3CDTF">2025-01-20T08:52:05Z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