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品目、配置及需求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一台训推测试机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28"/>
          <w:shd w:val="clear" w:fill="FFFFFF"/>
          <w:lang w:val="en-US" w:eastAsia="zh-CN" w:bidi="ar"/>
        </w:rPr>
        <w:t>（一）技术要求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28"/>
          <w:shd w:val="clear" w:fill="FFFFFF"/>
          <w:lang w:val="en-US" w:eastAsia="zh-CN" w:bidi="ar"/>
        </w:rPr>
        <w:t>硬件：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14 英寸 Liquid 视网膜 XDR显示屏；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2.纳米纹理显示屏；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3.CPU芯片性能不低于M4 Max芯片（≥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16 核中央处理器、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40 核图形处理器和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16 核神经网络引擎）；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64GB 内存；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5.≥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2TB 固态硬盘；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6.≥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96W USB-℃ 电源适配器；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7.≥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三个雷雳 5 端口,以及 HDMI端口、SDXC 卡插槽、耳机插孔和 MagSafe 3 端口带有触控 ID 的背光妙控键盘 -中文(拼音)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8.配件套件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28"/>
          <w:shd w:val="clear" w:fill="FFFFFF"/>
          <w:lang w:val="en-US" w:eastAsia="zh-CN" w:bidi="ar"/>
        </w:rPr>
        <w:t>软件：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shd w:val="clear" w:fill="FFFFFF"/>
          <w:lang w:val="en-US" w:eastAsia="zh-CN" w:bidi="ar"/>
        </w:rPr>
        <w:t>包含但不限于照片、iMovie 剪辑、文字处理软件、电子表单应用程序、演示幻灯片应用软件等软件。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59" w:leftChars="266" w:right="0" w:firstLine="0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28"/>
          <w:shd w:val="clear" w:fill="FFFFFF"/>
          <w:lang w:val="en-US" w:eastAsia="zh-CN" w:bidi="ar"/>
        </w:rPr>
        <w:t>（二）商务要求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1.交货时间：自合同签订后30天内。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2.交货地点：成都市金牛区妇幼保健院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3.付款方式：合同签订后，采购人收到供应商发票后支付合同金额的100%。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4.履约验收：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①履约验收主体：成都市金牛区妇幼保健院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②履约验收时间：供应商提出验收申请之日起30日内组织验收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③验收组织方式：自行验收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④履约验收程序：一次性验收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⑤技术履约验收内容：按照本项目招标文件中“技术参数要求”及中标人投标文件进行验收。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⑥商务履约验收内容：按照本项目招标文件中“商务要求”及中标人投标文件进行验收。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⑦履约验收标准：其他未尽事宜参照《财政部关于进一步加强政府采购需求和履约验收管理的指导意见》（财库〔2016〕205号）等政府采购相关法律法规的要求进行。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5.质保期：1年（从验收合格之日起计算）。质保期内中标人应负责系统及设备维修维护。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6.包装方式及运输：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>
      <w:pP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7.最高限价：3万元。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报价表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fill="FFFFFF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fill="FFFFFF"/>
                <w:lang w:val="en-US" w:eastAsia="zh-CN"/>
              </w:rPr>
              <w:t>成都市科技局科研项目相关设备项目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合计金额（大写）：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/>
          <w:color w:val="auto"/>
          <w:sz w:val="24"/>
          <w:szCs w:val="24"/>
        </w:rPr>
      </w:pPr>
    </w:p>
    <w:p>
      <w:pPr>
        <w:pStyle w:val="2"/>
        <w:rPr>
          <w:rFonts w:hint="default"/>
          <w:color w:val="auto"/>
          <w:sz w:val="24"/>
          <w:szCs w:val="24"/>
        </w:rPr>
      </w:pPr>
    </w:p>
    <w:p>
      <w:pPr>
        <w:pStyle w:val="2"/>
        <w:rPr>
          <w:rFonts w:hint="default"/>
          <w:color w:val="auto"/>
          <w:sz w:val="24"/>
          <w:szCs w:val="24"/>
        </w:rPr>
      </w:pPr>
    </w:p>
    <w:p>
      <w:pPr>
        <w:pStyle w:val="2"/>
        <w:rPr>
          <w:rFonts w:hint="default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 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widowControl w:val="0"/>
        <w:spacing w:after="120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日期：   年    月   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2024-12-27T02:46:31Z</dcterms:created>
  <dc:creator>OS</dc:creator>
  <cp:lastModifiedBy>們泊冬吴@^_^</cp:lastModifiedBy>
  <dcterms:modified xsi:type="dcterms:W3CDTF">2024-12-27T02:49:06Z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