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8322"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trPr>
        <w:tc>
          <w:tcPr>
            <w:tcW w:w="8322" w:type="dxa"/>
            <w:vAlign w:val="center"/>
          </w:tcPr>
          <w:p>
            <w:pPr>
              <w:snapToGrid w:val="0"/>
              <w:jc w:val="center"/>
              <w:rPr>
                <w:rFonts w:ascii="仿宋" w:hAnsi="仿宋" w:eastAsia="仿宋" w:cs="仿宋"/>
                <w:color w:val="auto"/>
                <w:sz w:val="2"/>
                <w:szCs w:val="2"/>
                <w:highlight w:val="none"/>
              </w:rPr>
            </w:pPr>
            <w:bookmarkStart w:id="0" w:name="_Hlt101843627"/>
            <w:bookmarkEnd w:id="0"/>
            <w:bookmarkStart w:id="1" w:name="_Hlt101233737"/>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4" w:hRule="atLeast"/>
        </w:trPr>
        <w:tc>
          <w:tcPr>
            <w:tcW w:w="8322" w:type="dxa"/>
            <w:vAlign w:val="center"/>
          </w:tcPr>
          <w:p>
            <w:pPr>
              <w:snapToGrid w:val="0"/>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成都市金牛区妇幼保健院建立2025-2027年度招标代理机构库项目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4" w:hRule="atLeast"/>
        </w:trPr>
        <w:tc>
          <w:tcPr>
            <w:tcW w:w="8322" w:type="dxa"/>
            <w:vAlign w:val="center"/>
          </w:tcPr>
          <w:p>
            <w:pPr>
              <w:snapToGrid w:val="0"/>
              <w:jc w:val="center"/>
              <w:rPr>
                <w:rFonts w:ascii="仿宋" w:hAnsi="仿宋" w:eastAsia="仿宋" w:cs="仿宋"/>
                <w:b/>
                <w:color w:val="auto"/>
                <w:sz w:val="52"/>
                <w:szCs w:val="5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9" w:hRule="atLeast"/>
        </w:trPr>
        <w:tc>
          <w:tcPr>
            <w:tcW w:w="8322" w:type="dxa"/>
            <w:vAlign w:val="center"/>
          </w:tcPr>
          <w:p>
            <w:pPr>
              <w:snapToGrid w:val="0"/>
              <w:jc w:val="center"/>
              <w:rPr>
                <w:rFonts w:ascii="仿宋" w:hAnsi="仿宋" w:eastAsia="仿宋" w:cs="仿宋"/>
                <w:b/>
                <w:color w:val="auto"/>
                <w:sz w:val="52"/>
                <w:szCs w:val="52"/>
                <w:highlight w:val="none"/>
              </w:rPr>
            </w:pPr>
            <w:r>
              <w:rPr>
                <w:rFonts w:hint="eastAsia" w:ascii="宋体" w:hAnsi="宋体" w:eastAsia="宋体" w:cs="宋体"/>
                <w:b/>
                <w:bCs/>
                <w:color w:val="auto"/>
                <w:sz w:val="96"/>
                <w:szCs w:val="96"/>
                <w:highlight w:val="none"/>
              </w:rPr>
              <w:t>比选文件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trPr>
        <w:tc>
          <w:tcPr>
            <w:tcW w:w="8322" w:type="dxa"/>
            <w:tcBorders>
              <w:bottom w:val="nil"/>
            </w:tcBorders>
            <w:vAlign w:val="center"/>
          </w:tcPr>
          <w:p>
            <w:pPr>
              <w:snapToGrid w:val="0"/>
              <w:jc w:val="center"/>
              <w:rPr>
                <w:rFonts w:ascii="仿宋" w:hAnsi="仿宋" w:eastAsia="仿宋" w:cs="仿宋"/>
                <w:b/>
                <w:color w:val="auto"/>
                <w:sz w:val="52"/>
                <w:szCs w:val="5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atLeast"/>
        </w:trPr>
        <w:tc>
          <w:tcPr>
            <w:tcW w:w="8322" w:type="dxa"/>
            <w:tcBorders>
              <w:top w:val="nil"/>
            </w:tcBorders>
            <w:vAlign w:val="center"/>
          </w:tcPr>
          <w:p>
            <w:pPr>
              <w:snapToGrid w:val="0"/>
              <w:jc w:val="center"/>
              <w:rPr>
                <w:rFonts w:ascii="仿宋" w:hAnsi="仿宋" w:eastAsia="仿宋" w:cs="仿宋"/>
                <w:b/>
                <w:color w:val="auto"/>
                <w:sz w:val="52"/>
                <w:szCs w:val="52"/>
                <w:highlight w:val="none"/>
              </w:rPr>
            </w:pPr>
          </w:p>
          <w:p>
            <w:pPr>
              <w:pStyle w:val="2"/>
              <w:rPr>
                <w:rFonts w:ascii="仿宋" w:hAnsi="仿宋" w:eastAsia="仿宋" w:cs="仿宋"/>
                <w:b/>
                <w:color w:val="auto"/>
                <w:sz w:val="52"/>
                <w:szCs w:val="52"/>
                <w:highlight w:val="none"/>
              </w:rPr>
            </w:pPr>
          </w:p>
          <w:p>
            <w:pPr>
              <w:pStyle w:val="14"/>
              <w:rPr>
                <w:rFonts w:ascii="仿宋" w:hAnsi="仿宋" w:eastAsia="仿宋" w:cs="仿宋"/>
                <w:b/>
                <w:color w:val="auto"/>
                <w:sz w:val="52"/>
                <w:szCs w:val="52"/>
                <w:highlight w:val="none"/>
              </w:rPr>
            </w:pPr>
          </w:p>
          <w:p>
            <w:pPr>
              <w:rPr>
                <w:rFonts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322" w:type="dxa"/>
            <w:vAlign w:val="center"/>
          </w:tcPr>
          <w:p>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采购人：</w:t>
            </w:r>
            <w:r>
              <w:rPr>
                <w:rFonts w:hint="eastAsia" w:ascii="仿宋" w:hAnsi="仿宋" w:eastAsia="仿宋" w:cs="仿宋"/>
                <w:bCs/>
                <w:color w:val="auto"/>
                <w:sz w:val="28"/>
                <w:szCs w:val="28"/>
                <w:highlight w:val="none"/>
              </w:rPr>
              <w:t>成都市金牛区妇幼保健院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8322" w:type="dxa"/>
            <w:vAlign w:val="center"/>
          </w:tcPr>
          <w:p>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二○二四</w:t>
            </w:r>
            <w:r>
              <w:rPr>
                <w:rFonts w:hint="eastAsia" w:ascii="仿宋" w:hAnsi="仿宋" w:eastAsia="仿宋" w:cs="仿宋"/>
                <w:b/>
                <w:color w:val="auto"/>
                <w:sz w:val="28"/>
                <w:szCs w:val="28"/>
                <w:highlight w:val="none"/>
                <w:lang w:val="zh-CN"/>
              </w:rPr>
              <w:t>年</w:t>
            </w:r>
            <w:r>
              <w:rPr>
                <w:rFonts w:hint="eastAsia" w:ascii="仿宋" w:hAnsi="仿宋" w:eastAsia="仿宋" w:cs="仿宋"/>
                <w:b/>
                <w:color w:val="auto"/>
                <w:sz w:val="28"/>
                <w:szCs w:val="28"/>
                <w:highlight w:val="none"/>
              </w:rPr>
              <w:t>十二</w:t>
            </w:r>
            <w:r>
              <w:rPr>
                <w:rFonts w:hint="eastAsia" w:ascii="仿宋" w:hAnsi="仿宋" w:eastAsia="仿宋" w:cs="仿宋"/>
                <w:b/>
                <w:color w:val="auto"/>
                <w:sz w:val="28"/>
                <w:szCs w:val="28"/>
                <w:highlight w:val="none"/>
                <w:lang w:val="zh-CN"/>
              </w:rPr>
              <w:t>月</w:t>
            </w:r>
          </w:p>
        </w:tc>
      </w:tr>
    </w:tbl>
    <w:p>
      <w:pPr>
        <w:snapToGrid w:val="0"/>
        <w:spacing w:line="540" w:lineRule="exact"/>
        <w:jc w:val="center"/>
        <w:rPr>
          <w:rFonts w:ascii="仿宋" w:hAnsi="仿宋" w:eastAsia="仿宋" w:cs="仿宋"/>
          <w:b/>
          <w:color w:val="auto"/>
          <w:sz w:val="44"/>
          <w:szCs w:val="44"/>
          <w:highlight w:val="none"/>
        </w:rPr>
      </w:pPr>
      <w:bookmarkStart w:id="2" w:name="_Toc2098"/>
    </w:p>
    <w:p>
      <w:pPr>
        <w:snapToGrid w:val="0"/>
        <w:spacing w:line="540" w:lineRule="exact"/>
        <w:jc w:val="center"/>
        <w:outlineLvl w:val="0"/>
        <w:rPr>
          <w:rFonts w:ascii="仿宋" w:hAnsi="仿宋" w:eastAsia="仿宋" w:cs="仿宋"/>
          <w:b/>
          <w:color w:val="auto"/>
          <w:sz w:val="56"/>
          <w:szCs w:val="56"/>
          <w:highlight w:val="none"/>
        </w:rPr>
      </w:pPr>
      <w:bookmarkStart w:id="3" w:name="_Toc13139"/>
    </w:p>
    <w:p>
      <w:pPr>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br w:type="page"/>
      </w:r>
    </w:p>
    <w:p>
      <w:pPr>
        <w:snapToGrid w:val="0"/>
        <w:spacing w:line="540" w:lineRule="exact"/>
        <w:jc w:val="center"/>
        <w:outlineLvl w:val="0"/>
        <w:rPr>
          <w:rFonts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bookmarkEnd w:id="2"/>
      <w:bookmarkEnd w:id="3"/>
    </w:p>
    <w:sdt>
      <w:sdtPr>
        <w:rPr>
          <w:rFonts w:hint="eastAsia" w:ascii="仿宋" w:hAnsi="仿宋" w:eastAsia="仿宋" w:cs="仿宋"/>
          <w:color w:val="auto"/>
          <w:sz w:val="44"/>
          <w:szCs w:val="48"/>
          <w:highlight w:val="none"/>
        </w:rPr>
        <w:id w:val="147451763"/>
        <w15:color w:val="DBDBDB"/>
        <w:docPartObj>
          <w:docPartGallery w:val="Table of Contents"/>
          <w:docPartUnique/>
        </w:docPartObj>
      </w:sdtPr>
      <w:sdtEndPr>
        <w:rPr>
          <w:rFonts w:hint="eastAsia" w:ascii="仿宋" w:hAnsi="仿宋" w:eastAsia="仿宋" w:cs="仿宋"/>
          <w:color w:val="auto"/>
          <w:sz w:val="32"/>
          <w:szCs w:val="36"/>
          <w:highlight w:val="none"/>
        </w:rPr>
      </w:sdtEndPr>
      <w:sdtContent>
        <w:p>
          <w:pPr>
            <w:jc w:val="center"/>
            <w:rPr>
              <w:rFonts w:ascii="仿宋" w:hAnsi="仿宋" w:eastAsia="仿宋" w:cs="仿宋"/>
              <w:color w:val="auto"/>
              <w:sz w:val="44"/>
              <w:szCs w:val="48"/>
              <w:highlight w:val="none"/>
            </w:rPr>
          </w:pPr>
        </w:p>
        <w:p>
          <w:pPr>
            <w:pStyle w:val="13"/>
            <w:tabs>
              <w:tab w:val="right" w:leader="dot" w:pos="8958"/>
            </w:tabs>
            <w:rPr>
              <w:rFonts w:ascii="仿宋" w:hAnsi="仿宋" w:eastAsia="仿宋" w:cs="仿宋"/>
              <w:color w:val="auto"/>
              <w:sz w:val="28"/>
              <w:szCs w:val="32"/>
              <w:highlight w:val="none"/>
            </w:rPr>
          </w:pPr>
          <w:r>
            <w:rPr>
              <w:rFonts w:hint="eastAsia" w:ascii="仿宋" w:hAnsi="仿宋" w:eastAsia="仿宋" w:cs="仿宋"/>
              <w:color w:val="auto"/>
              <w:sz w:val="40"/>
              <w:szCs w:val="40"/>
              <w:highlight w:val="none"/>
            </w:rPr>
            <w:fldChar w:fldCharType="begin"/>
          </w:r>
          <w:r>
            <w:rPr>
              <w:rFonts w:hint="eastAsia" w:ascii="仿宋" w:hAnsi="仿宋" w:eastAsia="仿宋" w:cs="仿宋"/>
              <w:color w:val="auto"/>
              <w:sz w:val="40"/>
              <w:szCs w:val="40"/>
              <w:highlight w:val="none"/>
            </w:rPr>
            <w:instrText xml:space="preserve">TOC \o "1-1" \h \u </w:instrText>
          </w:r>
          <w:r>
            <w:rPr>
              <w:rFonts w:hint="eastAsia" w:ascii="仿宋" w:hAnsi="仿宋" w:eastAsia="仿宋" w:cs="仿宋"/>
              <w:color w:val="auto"/>
              <w:sz w:val="40"/>
              <w:szCs w:val="40"/>
              <w:highlight w:val="none"/>
            </w:rPr>
            <w:fldChar w:fldCharType="separate"/>
          </w:r>
          <w:r>
            <w:rPr>
              <w:color w:val="auto"/>
              <w:highlight w:val="none"/>
            </w:rPr>
            <w:fldChar w:fldCharType="begin"/>
          </w:r>
          <w:r>
            <w:rPr>
              <w:color w:val="auto"/>
              <w:highlight w:val="none"/>
            </w:rPr>
            <w:instrText xml:space="preserve"> HYPERLINK \l "_Toc7144" </w:instrText>
          </w:r>
          <w:r>
            <w:rPr>
              <w:color w:val="auto"/>
              <w:highlight w:val="none"/>
            </w:rPr>
            <w:fldChar w:fldCharType="separate"/>
          </w:r>
          <w:r>
            <w:rPr>
              <w:rFonts w:hint="eastAsia" w:ascii="仿宋" w:hAnsi="仿宋" w:eastAsia="仿宋" w:cs="仿宋"/>
              <w:color w:val="auto"/>
              <w:sz w:val="28"/>
              <w:szCs w:val="32"/>
              <w:highlight w:val="none"/>
            </w:rPr>
            <w:t>第一章 比选邀请</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_Toc7144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1</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"_Toc5231" </w:instrText>
          </w:r>
          <w:r>
            <w:rPr>
              <w:color w:val="auto"/>
              <w:highlight w:val="none"/>
            </w:rPr>
            <w:fldChar w:fldCharType="separate"/>
          </w:r>
          <w:r>
            <w:rPr>
              <w:rFonts w:hint="eastAsia" w:ascii="仿宋" w:hAnsi="仿宋" w:eastAsia="仿宋" w:cs="仿宋"/>
              <w:color w:val="auto"/>
              <w:sz w:val="28"/>
              <w:szCs w:val="44"/>
              <w:highlight w:val="none"/>
            </w:rPr>
            <w:t>第二章 比选须知</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_Toc5231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3</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"_Toc21303" </w:instrText>
          </w:r>
          <w:r>
            <w:rPr>
              <w:color w:val="auto"/>
              <w:highlight w:val="none"/>
            </w:rPr>
            <w:fldChar w:fldCharType="separate"/>
          </w:r>
          <w:r>
            <w:rPr>
              <w:rFonts w:hint="eastAsia" w:ascii="仿宋" w:hAnsi="仿宋" w:eastAsia="仿宋" w:cs="仿宋"/>
              <w:color w:val="auto"/>
              <w:sz w:val="28"/>
              <w:szCs w:val="48"/>
              <w:highlight w:val="none"/>
            </w:rPr>
            <w:t>第三章 资格审查</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_Toc21303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14</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ascii="仿宋" w:hAnsi="仿宋" w:eastAsia="仿宋" w:cs="仿宋"/>
              <w:bCs/>
              <w:color w:val="auto"/>
              <w:sz w:val="28"/>
              <w:szCs w:val="48"/>
              <w:highlight w:val="none"/>
            </w:rPr>
            <w:t>第四章 比选内容及要求</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_Toc8246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17</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"_Toc21989" </w:instrText>
          </w:r>
          <w:r>
            <w:rPr>
              <w:color w:val="auto"/>
              <w:highlight w:val="none"/>
            </w:rPr>
            <w:fldChar w:fldCharType="separate"/>
          </w:r>
          <w:r>
            <w:rPr>
              <w:rFonts w:hint="eastAsia" w:ascii="仿宋" w:hAnsi="仿宋" w:eastAsia="仿宋" w:cs="仿宋"/>
              <w:bCs/>
              <w:color w:val="auto"/>
              <w:sz w:val="28"/>
              <w:szCs w:val="48"/>
              <w:highlight w:val="none"/>
            </w:rPr>
            <w:t>第五章 比选评审办法</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_Toc21989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23</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"_Toc29891" </w:instrText>
          </w:r>
          <w:r>
            <w:rPr>
              <w:color w:val="auto"/>
              <w:highlight w:val="none"/>
            </w:rPr>
            <w:fldChar w:fldCharType="separate"/>
          </w:r>
          <w:r>
            <w:rPr>
              <w:rFonts w:hint="eastAsia" w:ascii="仿宋" w:hAnsi="仿宋" w:eastAsia="仿宋" w:cs="仿宋"/>
              <w:bCs/>
              <w:color w:val="auto"/>
              <w:sz w:val="28"/>
              <w:szCs w:val="48"/>
              <w:highlight w:val="none"/>
            </w:rPr>
            <w:t>第六章 比选申请文件格式</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_Toc29891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26</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rPr>
              <w:rFonts w:ascii="仿宋" w:hAnsi="仿宋" w:eastAsia="仿宋" w:cs="仿宋"/>
              <w:color w:val="auto"/>
              <w:sz w:val="28"/>
              <w:szCs w:val="32"/>
              <w:highlight w:val="none"/>
            </w:rPr>
          </w:pPr>
          <w:r>
            <w:rPr>
              <w:color w:val="auto"/>
              <w:highlight w:val="none"/>
            </w:rPr>
            <w:fldChar w:fldCharType="begin"/>
          </w:r>
          <w:r>
            <w:rPr>
              <w:color w:val="auto"/>
              <w:highlight w:val="none"/>
            </w:rPr>
            <w:instrText xml:space="preserve"> HYPERLINK \l "_Toc22171" </w:instrText>
          </w:r>
          <w:r>
            <w:rPr>
              <w:color w:val="auto"/>
              <w:highlight w:val="none"/>
            </w:rPr>
            <w:fldChar w:fldCharType="separate"/>
          </w:r>
          <w:r>
            <w:rPr>
              <w:rFonts w:hint="eastAsia" w:ascii="仿宋" w:hAnsi="仿宋" w:eastAsia="仿宋" w:cs="仿宋"/>
              <w:bCs/>
              <w:color w:val="auto"/>
              <w:sz w:val="28"/>
              <w:szCs w:val="48"/>
              <w:highlight w:val="none"/>
            </w:rPr>
            <w:t>第七章 采购合同条款（草案）</w:t>
          </w:r>
          <w:r>
            <w:rPr>
              <w:rFonts w:hint="eastAsia" w:ascii="仿宋" w:hAnsi="仿宋" w:eastAsia="仿宋" w:cs="仿宋"/>
              <w:color w:val="auto"/>
              <w:sz w:val="28"/>
              <w:szCs w:val="32"/>
              <w:highlight w:val="none"/>
            </w:rPr>
            <w:tab/>
          </w:r>
          <w:r>
            <w:rPr>
              <w:rFonts w:hint="eastAsia" w:ascii="仿宋" w:hAnsi="仿宋" w:eastAsia="仿宋" w:cs="仿宋"/>
              <w:color w:val="auto"/>
              <w:sz w:val="28"/>
              <w:szCs w:val="32"/>
              <w:highlight w:val="none"/>
            </w:rPr>
            <w:fldChar w:fldCharType="begin"/>
          </w:r>
          <w:r>
            <w:rPr>
              <w:rFonts w:hint="eastAsia" w:ascii="仿宋" w:hAnsi="仿宋" w:eastAsia="仿宋" w:cs="仿宋"/>
              <w:color w:val="auto"/>
              <w:sz w:val="28"/>
              <w:szCs w:val="32"/>
              <w:highlight w:val="none"/>
            </w:rPr>
            <w:instrText xml:space="preserve"> PAGEREF _Toc22171 \h </w:instrText>
          </w:r>
          <w:r>
            <w:rPr>
              <w:rFonts w:hint="eastAsia" w:ascii="仿宋" w:hAnsi="仿宋" w:eastAsia="仿宋" w:cs="仿宋"/>
              <w:color w:val="auto"/>
              <w:sz w:val="28"/>
              <w:szCs w:val="32"/>
              <w:highlight w:val="none"/>
            </w:rPr>
            <w:fldChar w:fldCharType="separate"/>
          </w:r>
          <w:r>
            <w:rPr>
              <w:rFonts w:hint="eastAsia" w:ascii="仿宋" w:hAnsi="仿宋" w:eastAsia="仿宋" w:cs="仿宋"/>
              <w:color w:val="auto"/>
              <w:sz w:val="28"/>
              <w:szCs w:val="32"/>
              <w:highlight w:val="none"/>
            </w:rPr>
            <w:t>40</w:t>
          </w:r>
          <w:r>
            <w:rPr>
              <w:rFonts w:hint="eastAsia" w:ascii="仿宋" w:hAnsi="仿宋" w:eastAsia="仿宋" w:cs="仿宋"/>
              <w:color w:val="auto"/>
              <w:sz w:val="28"/>
              <w:szCs w:val="32"/>
              <w:highlight w:val="none"/>
            </w:rPr>
            <w:fldChar w:fldCharType="end"/>
          </w:r>
          <w:r>
            <w:rPr>
              <w:rFonts w:hint="eastAsia" w:ascii="仿宋" w:hAnsi="仿宋" w:eastAsia="仿宋" w:cs="仿宋"/>
              <w:color w:val="auto"/>
              <w:sz w:val="28"/>
              <w:szCs w:val="32"/>
              <w:highlight w:val="none"/>
            </w:rPr>
            <w:fldChar w:fldCharType="end"/>
          </w:r>
        </w:p>
        <w:p>
          <w:pPr>
            <w:pStyle w:val="13"/>
            <w:tabs>
              <w:tab w:val="right" w:leader="dot" w:pos="8958"/>
            </w:tabs>
            <w:spacing w:line="360" w:lineRule="auto"/>
            <w:rPr>
              <w:rFonts w:ascii="仿宋" w:hAnsi="仿宋" w:eastAsia="仿宋" w:cs="仿宋"/>
              <w:color w:val="auto"/>
              <w:highlight w:val="none"/>
            </w:rPr>
          </w:pPr>
          <w:r>
            <w:rPr>
              <w:rFonts w:hint="eastAsia" w:ascii="仿宋" w:hAnsi="仿宋" w:eastAsia="仿宋" w:cs="仿宋"/>
              <w:color w:val="auto"/>
              <w:sz w:val="28"/>
              <w:szCs w:val="40"/>
              <w:highlight w:val="none"/>
            </w:rPr>
            <w:fldChar w:fldCharType="end"/>
          </w:r>
        </w:p>
      </w:sdtContent>
    </w:sdt>
    <w:p>
      <w:pPr>
        <w:widowControl/>
        <w:ind w:firstLine="723" w:firstLineChars="200"/>
        <w:jc w:val="center"/>
        <w:rPr>
          <w:rFonts w:ascii="仿宋" w:hAnsi="仿宋" w:eastAsia="仿宋" w:cs="仿宋"/>
          <w:b/>
          <w:color w:val="auto"/>
          <w:sz w:val="36"/>
          <w:szCs w:val="36"/>
          <w:highlight w:val="none"/>
        </w:rPr>
        <w:sectPr>
          <w:pgSz w:w="11906" w:h="16838"/>
          <w:pgMar w:top="1440" w:right="1474" w:bottom="1440" w:left="1474" w:header="1020" w:footer="992" w:gutter="0"/>
          <w:cols w:space="0" w:num="1"/>
          <w:titlePg/>
          <w:docGrid w:type="lines" w:linePitch="312" w:charSpace="0"/>
        </w:sectPr>
      </w:pPr>
    </w:p>
    <w:p>
      <w:pPr>
        <w:pStyle w:val="3"/>
        <w:spacing w:line="360" w:lineRule="auto"/>
        <w:jc w:val="center"/>
        <w:rPr>
          <w:rFonts w:ascii="仿宋" w:hAnsi="仿宋" w:eastAsia="仿宋" w:cs="仿宋"/>
          <w:color w:val="auto"/>
          <w:highlight w:val="none"/>
        </w:rPr>
      </w:pPr>
      <w:bookmarkStart w:id="4" w:name="_Toc7144"/>
      <w:bookmarkStart w:id="5" w:name="_Toc2490"/>
      <w:r>
        <w:rPr>
          <w:rFonts w:hint="eastAsia" w:ascii="仿宋" w:hAnsi="仿宋" w:eastAsia="仿宋" w:cs="仿宋"/>
          <w:bCs w:val="0"/>
          <w:color w:val="auto"/>
          <w:sz w:val="36"/>
          <w:highlight w:val="none"/>
        </w:rPr>
        <w:t>第一章 比选邀请</w:t>
      </w:r>
      <w:bookmarkEnd w:id="4"/>
      <w:bookmarkEnd w:id="5"/>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成都市金牛区妇幼保健院</w:t>
      </w:r>
      <w:r>
        <w:rPr>
          <w:rFonts w:hint="eastAsia" w:ascii="仿宋" w:hAnsi="仿宋" w:eastAsia="仿宋" w:cs="仿宋"/>
          <w:color w:val="auto"/>
          <w:sz w:val="24"/>
          <w:szCs w:val="24"/>
          <w:highlight w:val="none"/>
        </w:rPr>
        <w:t>（以下简称“比选人”）拟对“</w:t>
      </w:r>
      <w:r>
        <w:rPr>
          <w:rFonts w:hint="eastAsia" w:ascii="仿宋" w:hAnsi="仿宋" w:eastAsia="仿宋" w:cs="仿宋"/>
          <w:b/>
          <w:bCs/>
          <w:color w:val="auto"/>
          <w:sz w:val="24"/>
          <w:szCs w:val="24"/>
          <w:highlight w:val="none"/>
          <w:lang w:eastAsia="zh-CN"/>
        </w:rPr>
        <w:t>成都市金牛区妇幼保健院建立2025-2027年度招标代理机构库项目</w:t>
      </w:r>
      <w:r>
        <w:rPr>
          <w:rFonts w:hint="eastAsia" w:ascii="仿宋" w:hAnsi="仿宋" w:eastAsia="仿宋" w:cs="仿宋"/>
          <w:color w:val="auto"/>
          <w:sz w:val="24"/>
          <w:szCs w:val="24"/>
          <w:highlight w:val="none"/>
        </w:rPr>
        <w:t>”进行公开比选，兹邀请符合本次比选要求的比选申请人参加比选。</w:t>
      </w:r>
    </w:p>
    <w:p>
      <w:pPr>
        <w:spacing w:line="360" w:lineRule="auto"/>
        <w:ind w:firstLine="482" w:firstLine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一、项目名称</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成都市金牛区妇幼保健院建立2025-2027年度招标代理机构库项目</w:t>
      </w:r>
    </w:p>
    <w:p>
      <w:pPr>
        <w:spacing w:line="360" w:lineRule="auto"/>
        <w:ind w:firstLine="482" w:firstLineChars="200"/>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二、项目简介</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本项目共计1个采购包，拟确定成交供应商4名。具体比选详情见第四章。</w:t>
      </w:r>
    </w:p>
    <w:p>
      <w:pPr>
        <w:spacing w:line="360" w:lineRule="auto"/>
        <w:ind w:firstLine="482" w:firstLineChars="200"/>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三、比选人申请人应具备的资格条件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（一）具有独立承担民事责任的能力；</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（二）具有良好的商业信誉和健全的财务会计制度；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（三）具有履行合同所必需的设备和专业技术能力；</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（四）有依法缴纳税收和社会保障资金的良好记录；</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（五）参加本次比选活动前三年内，在经营活动中没有重大违法记录；</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（六）供应商及其现任法定代表人（非法人机构则为主要负责人）不得具有行贿犯罪记录；</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（七）供应商截止至本项目比选申请文件递交截止时间未被列入“信用中国”网站(www.creditchina.gov.cn)、“中国政府采购网”网站(www.ccgp.gov.cn) 中任一网站的失信被执行人名单或税收违法黑名单或政府采购严重违法失信行为记录名单；</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（八）比选项目的特殊要求：已在中国政府采购网进行网上登记备案；</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（九）本项目不接收联合体响应；</w:t>
      </w:r>
    </w:p>
    <w:p>
      <w:pPr>
        <w:spacing w:line="360" w:lineRule="auto"/>
        <w:ind w:firstLine="482" w:firstLine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四、比选公告发布的媒体</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本次比选公告在成都市金牛区妇幼保健院官网（https://www.cdjnbjy.com/）发布。</w:t>
      </w:r>
    </w:p>
    <w:p>
      <w:pPr>
        <w:tabs>
          <w:tab w:val="left" w:pos="6255"/>
        </w:tabs>
        <w:spacing w:line="360" w:lineRule="auto"/>
        <w:ind w:firstLine="482" w:firstLine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五、比选文件获取的方式</w:t>
      </w:r>
    </w:p>
    <w:p>
      <w:pPr>
        <w:pStyle w:val="17"/>
        <w:spacing w:after="0" w:line="336"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在成都市金牛区妇幼保健院官网（https://www.cdjnbjy.com/）直接下载采购文件。</w:t>
      </w:r>
    </w:p>
    <w:p>
      <w:pPr>
        <w:spacing w:line="360" w:lineRule="auto"/>
        <w:ind w:firstLine="482" w:firstLine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七、提交比选申请文件截止时间</w:t>
      </w:r>
    </w:p>
    <w:p>
      <w:pPr>
        <w:spacing w:line="360" w:lineRule="auto"/>
        <w:ind w:firstLine="480" w:firstLineChars="200"/>
        <w:rPr>
          <w:rFonts w:ascii="仿宋" w:hAnsi="仿宋" w:eastAsia="仿宋" w:cs="仿宋"/>
          <w:sz w:val="24"/>
          <w:szCs w:val="24"/>
          <w:highlight w:val="none"/>
        </w:rPr>
      </w:pPr>
      <w:bookmarkStart w:id="6" w:name="PO_默认文件内容_7"/>
      <w:r>
        <w:rPr>
          <w:rFonts w:hint="eastAsia" w:ascii="仿宋" w:hAnsi="仿宋" w:eastAsia="仿宋" w:cs="仿宋"/>
          <w:sz w:val="24"/>
          <w:szCs w:val="24"/>
          <w:highlight w:val="none"/>
        </w:rPr>
        <w:t>2024年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分（北京时间）</w:t>
      </w:r>
    </w:p>
    <w:p>
      <w:pPr>
        <w:pStyle w:val="2"/>
        <w:spacing w:after="0" w:line="360" w:lineRule="auto"/>
        <w:ind w:firstLine="480" w:firstLineChars="200"/>
        <w:rPr>
          <w:rFonts w:ascii="仿宋" w:hAnsi="仿宋" w:eastAsia="仿宋" w:cs="仿宋"/>
          <w:color w:val="auto"/>
          <w:sz w:val="24"/>
          <w:szCs w:val="24"/>
          <w:highlight w:val="none"/>
        </w:rPr>
      </w:pPr>
      <w:bookmarkStart w:id="65" w:name="_GoBack"/>
      <w:bookmarkEnd w:id="65"/>
      <w:r>
        <w:rPr>
          <w:rFonts w:hint="eastAsia" w:ascii="仿宋" w:hAnsi="仿宋" w:eastAsia="仿宋" w:cs="仿宋"/>
          <w:color w:val="auto"/>
          <w:sz w:val="24"/>
          <w:szCs w:val="24"/>
          <w:highlight w:val="none"/>
        </w:rPr>
        <w:t>1.比选申请文件应在提交比选申请文件截止时间前送达比选地点；</w:t>
      </w:r>
    </w:p>
    <w:p>
      <w:pPr>
        <w:pStyle w:val="2"/>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2.逾期送达或没有密封的比选申请文件恕不接收。</w:t>
      </w:r>
    </w:p>
    <w:p>
      <w:pPr>
        <w:pStyle w:val="2"/>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3.本项目仅接受现场递交响应文件。</w:t>
      </w:r>
    </w:p>
    <w:p>
      <w:pPr>
        <w:pStyle w:val="14"/>
        <w:spacing w:line="360" w:lineRule="auto"/>
        <w:ind w:firstLine="482" w:firstLine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八、提交比选申请文件地点和比选地点</w:t>
      </w:r>
    </w:p>
    <w:bookmarkEnd w:id="6"/>
    <w:p>
      <w:pPr>
        <w:pStyle w:val="2"/>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成都市金牛区长月路12号5楼532采购科办公室</w:t>
      </w:r>
    </w:p>
    <w:p>
      <w:pPr>
        <w:spacing w:line="360" w:lineRule="auto"/>
        <w:ind w:left="420" w:leftChars="20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九、联系方式</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比选人：成都市金牛区妇幼保健院</w:t>
      </w:r>
    </w:p>
    <w:p>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地址：成都市金牛区长月路 12 号 </w:t>
      </w:r>
    </w:p>
    <w:p>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联系人：李老师</w:t>
      </w:r>
    </w:p>
    <w:p>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联系电话：028-60767933</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widowControl/>
        <w:spacing w:line="520" w:lineRule="exact"/>
        <w:jc w:val="center"/>
        <w:outlineLvl w:val="0"/>
        <w:rPr>
          <w:rFonts w:ascii="仿宋" w:hAnsi="仿宋" w:eastAsia="仿宋" w:cs="仿宋"/>
          <w:color w:val="auto"/>
          <w:highlight w:val="none"/>
        </w:rPr>
      </w:pPr>
      <w:bookmarkStart w:id="7" w:name="_Toc4075"/>
      <w:bookmarkStart w:id="8" w:name="_Toc23677"/>
      <w:bookmarkStart w:id="9" w:name="_Toc32048"/>
      <w:bookmarkStart w:id="10" w:name="_Toc5231"/>
      <w:r>
        <w:rPr>
          <w:rFonts w:hint="eastAsia" w:ascii="仿宋" w:hAnsi="仿宋" w:eastAsia="仿宋" w:cs="仿宋"/>
          <w:b/>
          <w:color w:val="auto"/>
          <w:sz w:val="36"/>
          <w:szCs w:val="32"/>
          <w:highlight w:val="none"/>
        </w:rPr>
        <w:t>第二章 比选须知</w:t>
      </w:r>
      <w:bookmarkEnd w:id="7"/>
      <w:bookmarkEnd w:id="8"/>
      <w:bookmarkEnd w:id="9"/>
      <w:bookmarkEnd w:id="10"/>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一、比选申请人须知附表</w:t>
      </w:r>
    </w:p>
    <w:tbl>
      <w:tblPr>
        <w:tblStyle w:val="18"/>
        <w:tblW w:w="893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spacing w:line="360" w:lineRule="auto"/>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序号</w:t>
            </w:r>
          </w:p>
        </w:tc>
        <w:tc>
          <w:tcPr>
            <w:tcW w:w="2210" w:type="dxa"/>
            <w:tcBorders>
              <w:top w:val="single" w:color="auto" w:sz="18" w:space="0"/>
            </w:tcBorders>
            <w:vAlign w:val="center"/>
          </w:tcPr>
          <w:p>
            <w:pPr>
              <w:spacing w:line="360" w:lineRule="auto"/>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应知事项</w:t>
            </w:r>
          </w:p>
        </w:tc>
        <w:tc>
          <w:tcPr>
            <w:tcW w:w="6197" w:type="dxa"/>
            <w:tcBorders>
              <w:top w:val="single" w:color="auto" w:sz="18" w:space="0"/>
            </w:tcBorders>
            <w:vAlign w:val="center"/>
          </w:tcPr>
          <w:p>
            <w:pPr>
              <w:spacing w:line="360" w:lineRule="auto"/>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spacing w:line="360" w:lineRule="auto"/>
              <w:jc w:val="center"/>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报价要求</w:t>
            </w:r>
          </w:p>
          <w:p>
            <w:pPr>
              <w:spacing w:line="360" w:lineRule="auto"/>
              <w:jc w:val="center"/>
              <w:rPr>
                <w:rFonts w:ascii="仿宋" w:hAnsi="仿宋" w:eastAsia="仿宋" w:cs="仿宋"/>
                <w:color w:val="auto"/>
                <w:kern w:val="0"/>
                <w:sz w:val="22"/>
                <w:highlight w:val="none"/>
                <w:lang w:val="zh-CN"/>
              </w:rPr>
            </w:pPr>
            <w:r>
              <w:rPr>
                <w:rFonts w:hint="eastAsia" w:ascii="仿宋" w:hAnsi="仿宋" w:eastAsia="仿宋" w:cs="仿宋"/>
                <w:b/>
                <w:bCs/>
                <w:color w:val="auto"/>
                <w:kern w:val="0"/>
                <w:sz w:val="22"/>
                <w:highlight w:val="none"/>
                <w:lang w:val="zh-CN"/>
              </w:rPr>
              <w:t>（实质性要求）</w:t>
            </w:r>
          </w:p>
        </w:tc>
        <w:tc>
          <w:tcPr>
            <w:tcW w:w="6197" w:type="dxa"/>
            <w:vAlign w:val="center"/>
          </w:tcPr>
          <w:p>
            <w:pPr>
              <w:spacing w:line="360" w:lineRule="auto"/>
              <w:ind w:left="210" w:leftChars="100"/>
              <w:rPr>
                <w:rFonts w:ascii="仿宋" w:hAnsi="仿宋" w:eastAsia="仿宋" w:cs="仿宋"/>
                <w:b/>
                <w:bCs/>
                <w:color w:val="auto"/>
                <w:sz w:val="22"/>
                <w:highlight w:val="none"/>
              </w:rPr>
            </w:pPr>
            <w:r>
              <w:rPr>
                <w:rFonts w:hint="eastAsia" w:ascii="仿宋" w:hAnsi="仿宋" w:eastAsia="仿宋" w:cs="仿宋"/>
                <w:b/>
                <w:bCs/>
                <w:color w:val="auto"/>
                <w:sz w:val="22"/>
                <w:highlight w:val="none"/>
              </w:rPr>
              <w:t>最高限价：</w:t>
            </w:r>
          </w:p>
          <w:p>
            <w:pPr>
              <w:spacing w:line="360"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1、参照国家计委“计价格[2002]1980号”和国家发改委“发改办价格[2003]857号”“发改价格[2011] 534号”“发改价格[2015]299号”标准的100%</w:t>
            </w:r>
          </w:p>
          <w:p>
            <w:pPr>
              <w:spacing w:line="360" w:lineRule="auto"/>
              <w:ind w:firstLine="220" w:firstLineChars="100"/>
              <w:rPr>
                <w:rFonts w:ascii="仿宋" w:hAnsi="仿宋" w:eastAsia="仿宋" w:cs="仿宋"/>
                <w:color w:val="auto"/>
                <w:sz w:val="22"/>
                <w:highlight w:val="none"/>
              </w:rPr>
            </w:pPr>
            <w:r>
              <w:rPr>
                <w:rFonts w:hint="eastAsia" w:ascii="仿宋" w:hAnsi="仿宋" w:eastAsia="仿宋" w:cs="仿宋"/>
                <w:color w:val="auto"/>
                <w:sz w:val="22"/>
                <w:highlight w:val="none"/>
              </w:rPr>
              <w:t>2、以单个代理项目的中标（成交）金额作为收费依据，按照计费标准的100%计算不足6000元按6000元收取。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不正当竞争预防措施</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pStyle w:val="27"/>
              <w:spacing w:line="360" w:lineRule="auto"/>
              <w:ind w:left="210" w:leftChars="100"/>
              <w:jc w:val="both"/>
              <w:rPr>
                <w:rFonts w:ascii="仿宋" w:hAnsi="仿宋" w:eastAsia="仿宋" w:cs="仿宋"/>
                <w:color w:val="auto"/>
                <w:sz w:val="22"/>
                <w:szCs w:val="22"/>
                <w:highlight w:val="none"/>
              </w:rPr>
            </w:pPr>
            <w:r>
              <w:rPr>
                <w:rFonts w:hint="eastAsia" w:ascii="仿宋" w:hAnsi="仿宋" w:eastAsia="仿宋" w:cs="仿宋"/>
                <w:bCs/>
                <w:color w:val="auto"/>
                <w:kern w:val="2"/>
                <w:sz w:val="22"/>
                <w:szCs w:val="22"/>
                <w:highlight w:val="none"/>
                <w:lang w:val="zh-CN"/>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比选申请文件有效期</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pStyle w:val="27"/>
              <w:spacing w:line="360" w:lineRule="auto"/>
              <w:ind w:left="210" w:leftChars="1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提交</w:t>
            </w:r>
            <w:r>
              <w:rPr>
                <w:rFonts w:hint="eastAsia" w:ascii="仿宋" w:hAnsi="仿宋" w:eastAsia="仿宋" w:cs="仿宋"/>
                <w:color w:val="auto"/>
                <w:sz w:val="22"/>
                <w:szCs w:val="22"/>
                <w:highlight w:val="none"/>
              </w:rPr>
              <w:t>比选申请文件</w:t>
            </w:r>
            <w:r>
              <w:rPr>
                <w:rFonts w:hint="eastAsia" w:ascii="仿宋" w:hAnsi="仿宋" w:eastAsia="仿宋" w:cs="仿宋"/>
                <w:color w:val="auto"/>
                <w:sz w:val="22"/>
                <w:szCs w:val="22"/>
                <w:highlight w:val="none"/>
                <w:lang w:val="zh-CN"/>
              </w:rPr>
              <w:t>截止之日起90</w:t>
            </w:r>
            <w:r>
              <w:rPr>
                <w:rFonts w:hint="eastAsia" w:ascii="仿宋" w:hAnsi="仿宋" w:eastAsia="仿宋" w:cs="仿宋"/>
                <w:color w:val="auto"/>
                <w:sz w:val="22"/>
                <w:szCs w:val="22"/>
                <w:highlight w:val="none"/>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合同分包</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pStyle w:val="27"/>
              <w:spacing w:line="360" w:lineRule="auto"/>
              <w:ind w:left="210" w:leftChars="1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联合体</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spacing w:line="360" w:lineRule="auto"/>
              <w:ind w:left="210" w:leftChars="100"/>
              <w:rPr>
                <w:rFonts w:ascii="仿宋" w:hAnsi="仿宋" w:eastAsia="仿宋" w:cs="仿宋"/>
                <w:color w:val="auto"/>
                <w:sz w:val="22"/>
                <w:highlight w:val="none"/>
                <w:lang w:val="zh-CN"/>
              </w:rPr>
            </w:pPr>
            <w:r>
              <w:rPr>
                <w:rFonts w:hint="eastAsia" w:ascii="仿宋" w:hAnsi="仿宋" w:eastAsia="仿宋" w:cs="仿宋"/>
                <w:color w:val="auto"/>
                <w:sz w:val="22"/>
                <w:highlight w:val="none"/>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比选方法</w:t>
            </w:r>
          </w:p>
        </w:tc>
        <w:tc>
          <w:tcPr>
            <w:tcW w:w="6197" w:type="dxa"/>
            <w:vAlign w:val="center"/>
          </w:tcPr>
          <w:p>
            <w:pPr>
              <w:spacing w:line="360" w:lineRule="auto"/>
              <w:ind w:left="210" w:leftChars="100"/>
              <w:rPr>
                <w:rFonts w:ascii="仿宋" w:hAnsi="仿宋" w:eastAsia="仿宋" w:cs="仿宋"/>
                <w:color w:val="auto"/>
                <w:kern w:val="0"/>
                <w:sz w:val="22"/>
                <w:highlight w:val="none"/>
                <w:lang w:val="zh-CN"/>
              </w:rPr>
            </w:pPr>
            <w:r>
              <w:rPr>
                <w:rFonts w:hint="eastAsia" w:ascii="仿宋" w:hAnsi="仿宋" w:eastAsia="仿宋" w:cs="仿宋"/>
                <w:color w:val="auto"/>
                <w:kern w:val="0"/>
                <w:sz w:val="22"/>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比选申请文件的份数</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spacing w:line="360" w:lineRule="auto"/>
              <w:ind w:left="210" w:leftChars="100"/>
              <w:rPr>
                <w:rFonts w:ascii="仿宋" w:hAnsi="仿宋" w:eastAsia="仿宋" w:cs="仿宋"/>
                <w:color w:val="auto"/>
                <w:sz w:val="22"/>
                <w:highlight w:val="none"/>
              </w:rPr>
            </w:pPr>
            <w:r>
              <w:rPr>
                <w:rFonts w:hint="eastAsia" w:ascii="仿宋" w:hAnsi="仿宋" w:eastAsia="仿宋" w:cs="仿宋"/>
                <w:color w:val="auto"/>
                <w:kern w:val="0"/>
                <w:sz w:val="22"/>
                <w:highlight w:val="none"/>
                <w:lang w:val="zh-CN"/>
              </w:rPr>
              <w:t>“</w:t>
            </w:r>
            <w:r>
              <w:rPr>
                <w:rFonts w:hint="eastAsia" w:ascii="仿宋" w:hAnsi="仿宋" w:eastAsia="仿宋" w:cs="仿宋"/>
                <w:color w:val="auto"/>
                <w:kern w:val="0"/>
                <w:sz w:val="22"/>
                <w:highlight w:val="none"/>
              </w:rPr>
              <w:t>比选申请文件</w:t>
            </w:r>
            <w:r>
              <w:rPr>
                <w:rFonts w:hint="eastAsia" w:ascii="仿宋" w:hAnsi="仿宋" w:eastAsia="仿宋" w:cs="仿宋"/>
                <w:color w:val="auto"/>
                <w:kern w:val="0"/>
                <w:sz w:val="22"/>
                <w:highlight w:val="none"/>
                <w:lang w:val="zh-CN"/>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比选保证金</w:t>
            </w:r>
          </w:p>
          <w:p>
            <w:pPr>
              <w:pStyle w:val="27"/>
              <w:spacing w:line="360" w:lineRule="auto"/>
              <w:jc w:val="center"/>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zh-CN"/>
              </w:rPr>
              <w:t>（实质性要求）</w:t>
            </w:r>
          </w:p>
        </w:tc>
        <w:tc>
          <w:tcPr>
            <w:tcW w:w="6197" w:type="dxa"/>
            <w:vAlign w:val="center"/>
          </w:tcPr>
          <w:p>
            <w:pPr>
              <w:spacing w:line="360" w:lineRule="auto"/>
              <w:ind w:left="210" w:leftChars="100"/>
              <w:rPr>
                <w:rFonts w:ascii="仿宋" w:hAnsi="仿宋" w:eastAsia="仿宋" w:cs="仿宋"/>
                <w:color w:val="auto"/>
                <w:kern w:val="0"/>
                <w:sz w:val="22"/>
                <w:highlight w:val="none"/>
              </w:rPr>
            </w:pPr>
            <w:r>
              <w:rPr>
                <w:rFonts w:hint="eastAsia" w:ascii="仿宋" w:hAnsi="仿宋" w:eastAsia="仿宋" w:cs="仿宋"/>
                <w:color w:val="auto"/>
                <w:kern w:val="0"/>
                <w:sz w:val="22"/>
                <w:highlight w:val="none"/>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履约保证金</w:t>
            </w:r>
          </w:p>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b/>
                <w:bCs/>
                <w:color w:val="auto"/>
                <w:sz w:val="22"/>
                <w:szCs w:val="22"/>
                <w:highlight w:val="none"/>
                <w:lang w:val="zh-CN"/>
              </w:rPr>
              <w:t>（实质性要求）</w:t>
            </w:r>
          </w:p>
        </w:tc>
        <w:tc>
          <w:tcPr>
            <w:tcW w:w="6197" w:type="dxa"/>
            <w:vAlign w:val="center"/>
          </w:tcPr>
          <w:p>
            <w:pPr>
              <w:spacing w:line="360" w:lineRule="auto"/>
              <w:ind w:left="210" w:leftChars="100"/>
              <w:rPr>
                <w:rFonts w:ascii="仿宋" w:hAnsi="仿宋" w:eastAsia="仿宋" w:cs="仿宋"/>
                <w:color w:val="auto"/>
                <w:sz w:val="22"/>
                <w:highlight w:val="none"/>
              </w:rPr>
            </w:pPr>
            <w:r>
              <w:rPr>
                <w:rFonts w:hint="eastAsia" w:ascii="仿宋" w:hAnsi="仿宋" w:eastAsia="仿宋" w:cs="仿宋"/>
                <w:color w:val="auto"/>
                <w:kern w:val="0"/>
                <w:sz w:val="22"/>
                <w:highlight w:val="none"/>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pStyle w:val="27"/>
              <w:spacing w:line="36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现场踏勘和答疑</w:t>
            </w:r>
          </w:p>
        </w:tc>
        <w:tc>
          <w:tcPr>
            <w:tcW w:w="6197" w:type="dxa"/>
            <w:vAlign w:val="center"/>
          </w:tcPr>
          <w:p>
            <w:pPr>
              <w:spacing w:line="360"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spacing w:line="360" w:lineRule="auto"/>
              <w:ind w:left="105" w:leftChars="50" w:right="105" w:rightChars="50"/>
              <w:jc w:val="center"/>
              <w:rPr>
                <w:rFonts w:ascii="仿宋" w:hAnsi="仿宋" w:eastAsia="仿宋" w:cs="仿宋"/>
                <w:color w:val="auto"/>
                <w:kern w:val="0"/>
                <w:sz w:val="22"/>
                <w:highlight w:val="none"/>
                <w:lang w:val="zh-CN"/>
              </w:rPr>
            </w:pPr>
            <w:r>
              <w:rPr>
                <w:rFonts w:hint="eastAsia" w:ascii="仿宋" w:hAnsi="仿宋" w:eastAsia="仿宋" w:cs="仿宋"/>
                <w:color w:val="auto"/>
                <w:kern w:val="0"/>
                <w:sz w:val="22"/>
                <w:highlight w:val="none"/>
              </w:rPr>
              <w:t>成交结果</w:t>
            </w:r>
            <w:r>
              <w:rPr>
                <w:rFonts w:hint="eastAsia" w:ascii="仿宋" w:hAnsi="仿宋" w:eastAsia="仿宋" w:cs="仿宋"/>
                <w:color w:val="auto"/>
                <w:kern w:val="0"/>
                <w:sz w:val="22"/>
                <w:highlight w:val="none"/>
                <w:lang w:val="zh-CN"/>
              </w:rPr>
              <w:t>公告</w:t>
            </w:r>
          </w:p>
        </w:tc>
        <w:tc>
          <w:tcPr>
            <w:tcW w:w="6197" w:type="dxa"/>
            <w:vAlign w:val="center"/>
          </w:tcPr>
          <w:p>
            <w:pPr>
              <w:pStyle w:val="27"/>
              <w:spacing w:line="360" w:lineRule="auto"/>
              <w:ind w:left="210" w:leftChars="1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公告内容：成交人名称和成交金额</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spacing w:line="360" w:lineRule="auto"/>
              <w:jc w:val="center"/>
              <w:rPr>
                <w:rFonts w:ascii="仿宋" w:hAnsi="仿宋" w:eastAsia="仿宋" w:cs="仿宋"/>
                <w:color w:val="auto"/>
                <w:kern w:val="0"/>
                <w:sz w:val="22"/>
                <w:highlight w:val="none"/>
                <w:lang w:val="zh-CN"/>
              </w:rPr>
            </w:pPr>
            <w:r>
              <w:rPr>
                <w:rFonts w:hint="eastAsia" w:ascii="仿宋" w:hAnsi="仿宋" w:eastAsia="仿宋" w:cs="仿宋"/>
                <w:color w:val="auto"/>
                <w:kern w:val="0"/>
                <w:sz w:val="22"/>
                <w:highlight w:val="none"/>
                <w:lang w:val="zh-CN"/>
              </w:rPr>
              <w:t>成交通知书领取</w:t>
            </w:r>
          </w:p>
        </w:tc>
        <w:tc>
          <w:tcPr>
            <w:tcW w:w="6197" w:type="dxa"/>
            <w:vAlign w:val="center"/>
          </w:tcPr>
          <w:p>
            <w:pPr>
              <w:spacing w:line="360" w:lineRule="auto"/>
              <w:ind w:left="210" w:leftChars="100"/>
              <w:rPr>
                <w:rFonts w:ascii="仿宋" w:hAnsi="仿宋" w:eastAsia="仿宋" w:cs="仿宋"/>
                <w:b/>
                <w:bCs/>
                <w:color w:val="auto"/>
                <w:sz w:val="22"/>
                <w:highlight w:val="none"/>
              </w:rPr>
            </w:pPr>
            <w:r>
              <w:rPr>
                <w:rFonts w:hint="eastAsia" w:ascii="仿宋" w:hAnsi="仿宋" w:eastAsia="仿宋" w:cs="仿宋"/>
                <w:color w:val="auto"/>
                <w:kern w:val="0"/>
                <w:sz w:val="22"/>
                <w:highlight w:val="none"/>
                <w:lang w:val="zh-CN"/>
              </w:rPr>
              <w:t>成交结果公告在成都市金牛区妇幼保健院官网上公告后：</w:t>
            </w:r>
          </w:p>
          <w:p>
            <w:pPr>
              <w:pStyle w:val="27"/>
              <w:spacing w:line="360" w:lineRule="auto"/>
              <w:ind w:left="210" w:leftChars="100"/>
              <w:jc w:val="both"/>
              <w:rPr>
                <w:rFonts w:ascii="仿宋" w:hAnsi="仿宋" w:eastAsia="仿宋" w:cs="仿宋"/>
                <w:color w:val="auto"/>
                <w:sz w:val="22"/>
                <w:highlight w:val="none"/>
                <w:lang w:val="zh-CN"/>
              </w:rPr>
            </w:pPr>
            <w:r>
              <w:rPr>
                <w:rFonts w:hint="eastAsia" w:ascii="仿宋" w:hAnsi="仿宋" w:eastAsia="仿宋" w:cs="仿宋"/>
                <w:b/>
                <w:bCs/>
                <w:color w:val="auto"/>
                <w:sz w:val="22"/>
                <w:szCs w:val="22"/>
                <w:highlight w:val="none"/>
              </w:rPr>
              <w:t>现场领取：</w:t>
            </w:r>
            <w:r>
              <w:rPr>
                <w:rFonts w:hint="eastAsia" w:ascii="仿宋" w:hAnsi="仿宋" w:eastAsia="仿宋" w:cs="仿宋"/>
                <w:color w:val="auto"/>
                <w:sz w:val="22"/>
                <w:szCs w:val="22"/>
                <w:highlight w:val="none"/>
              </w:rPr>
              <w:t>请成交人凭法人授权书（或单位介绍信）和经办人身份证复印件（加盖单位公章）办理成交通知书领取的事宜；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524" w:type="dxa"/>
            <w:vAlign w:val="center"/>
          </w:tcPr>
          <w:p>
            <w:pPr>
              <w:pStyle w:val="26"/>
              <w:numPr>
                <w:ilvl w:val="0"/>
                <w:numId w:val="2"/>
              </w:numPr>
              <w:tabs>
                <w:tab w:val="left" w:pos="220"/>
                <w:tab w:val="clear" w:pos="0"/>
              </w:tabs>
              <w:adjustRightInd w:val="0"/>
              <w:snapToGrid w:val="0"/>
              <w:jc w:val="both"/>
              <w:rPr>
                <w:rFonts w:ascii="仿宋" w:hAnsi="仿宋" w:eastAsia="仿宋" w:cs="仿宋"/>
                <w:color w:val="auto"/>
                <w:szCs w:val="21"/>
                <w:highlight w:val="none"/>
              </w:rPr>
            </w:pPr>
          </w:p>
        </w:tc>
        <w:tc>
          <w:tcPr>
            <w:tcW w:w="2210" w:type="dxa"/>
            <w:vAlign w:val="center"/>
          </w:tcPr>
          <w:p>
            <w:pPr>
              <w:spacing w:line="360" w:lineRule="auto"/>
              <w:jc w:val="center"/>
              <w:rPr>
                <w:rFonts w:ascii="仿宋" w:hAnsi="仿宋" w:eastAsia="仿宋" w:cs="仿宋"/>
                <w:b/>
                <w:bCs/>
                <w:color w:val="auto"/>
                <w:kern w:val="0"/>
                <w:sz w:val="22"/>
                <w:highlight w:val="none"/>
                <w:lang w:val="zh-CN"/>
              </w:rPr>
            </w:pPr>
            <w:r>
              <w:rPr>
                <w:rFonts w:hint="eastAsia" w:ascii="仿宋" w:hAnsi="仿宋" w:eastAsia="仿宋" w:cs="仿宋"/>
                <w:color w:val="auto"/>
                <w:kern w:val="0"/>
                <w:sz w:val="22"/>
                <w:highlight w:val="none"/>
                <w:lang w:val="zh-CN"/>
              </w:rPr>
              <w:t>说明</w:t>
            </w:r>
          </w:p>
        </w:tc>
        <w:tc>
          <w:tcPr>
            <w:tcW w:w="6197" w:type="dxa"/>
            <w:vAlign w:val="center"/>
          </w:tcPr>
          <w:p>
            <w:pPr>
              <w:spacing w:line="360" w:lineRule="auto"/>
              <w:ind w:left="210" w:leftChars="100"/>
              <w:rPr>
                <w:rFonts w:ascii="仿宋" w:hAnsi="仿宋" w:eastAsia="仿宋" w:cs="仿宋"/>
                <w:color w:val="auto"/>
                <w:sz w:val="22"/>
                <w:highlight w:val="none"/>
                <w:lang w:val="zh-CN"/>
              </w:rPr>
            </w:pPr>
            <w:r>
              <w:rPr>
                <w:rFonts w:hint="eastAsia" w:ascii="仿宋" w:hAnsi="仿宋" w:eastAsia="仿宋" w:cs="仿宋"/>
                <w:color w:val="auto"/>
                <w:sz w:val="22"/>
                <w:highlight w:val="none"/>
                <w:lang w:val="zh-CN"/>
              </w:rPr>
              <w:t>本比选为非政府比选项目，比选文件中所有涉及政府采购相关内容均为参照执行；最终解释权归比选人所有</w:t>
            </w:r>
          </w:p>
        </w:tc>
      </w:tr>
    </w:tbl>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二、总则</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（一）适用范围</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本比选文件仅适用于本次公开比选所叙述的货物和服务项目采购。</w:t>
      </w:r>
    </w:p>
    <w:p>
      <w:pPr>
        <w:spacing w:line="360" w:lineRule="auto"/>
        <w:ind w:firstLine="482" w:firstLineChars="200"/>
        <w:outlineLvl w:val="2"/>
        <w:rPr>
          <w:rFonts w:ascii="仿宋" w:hAnsi="仿宋" w:eastAsia="仿宋" w:cs="仿宋"/>
          <w:b/>
          <w:color w:val="auto"/>
          <w:sz w:val="24"/>
          <w:szCs w:val="24"/>
          <w:highlight w:val="none"/>
        </w:rPr>
      </w:pPr>
      <w:bookmarkStart w:id="11" w:name="_Toc217446035"/>
      <w:r>
        <w:rPr>
          <w:rFonts w:hint="eastAsia" w:ascii="仿宋" w:hAnsi="仿宋" w:eastAsia="仿宋" w:cs="仿宋"/>
          <w:b/>
          <w:color w:val="auto"/>
          <w:sz w:val="24"/>
          <w:szCs w:val="24"/>
          <w:highlight w:val="none"/>
        </w:rPr>
        <w:t>（二）</w:t>
      </w:r>
      <w:bookmarkEnd w:id="11"/>
      <w:r>
        <w:rPr>
          <w:rFonts w:hint="eastAsia" w:ascii="仿宋" w:hAnsi="仿宋" w:eastAsia="仿宋" w:cs="仿宋"/>
          <w:b/>
          <w:color w:val="auto"/>
          <w:sz w:val="24"/>
          <w:szCs w:val="24"/>
          <w:highlight w:val="none"/>
        </w:rPr>
        <w:t>比选主体</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1.“比选人”系指成都市金牛区妇幼保健院。</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2.“比选申请人”系指购买了比选文件拟参加比选和向比选人提供货物及相应服务的供应商。</w:t>
      </w:r>
    </w:p>
    <w:p>
      <w:pPr>
        <w:spacing w:line="360" w:lineRule="auto"/>
        <w:ind w:firstLine="482" w:firstLineChars="200"/>
        <w:outlineLvl w:val="2"/>
        <w:rPr>
          <w:rFonts w:ascii="仿宋" w:hAnsi="仿宋" w:eastAsia="仿宋" w:cs="仿宋"/>
          <w:color w:val="auto"/>
          <w:highlight w:val="none"/>
        </w:rPr>
      </w:pPr>
      <w:r>
        <w:rPr>
          <w:rFonts w:hint="eastAsia" w:ascii="仿宋" w:hAnsi="仿宋" w:eastAsia="仿宋" w:cs="仿宋"/>
          <w:b/>
          <w:color w:val="auto"/>
          <w:sz w:val="24"/>
          <w:szCs w:val="24"/>
          <w:highlight w:val="none"/>
        </w:rPr>
        <w:t>（三）有关定义</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1.比选文件所称的“以上”、“以下”、“以内”、“届满”，包括本数；所称的“不满”、“超过”、“以外”，不包括本数。</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2.比选文件要求比选申请人提供原件资料的，文件均以“原件”字样作以标注；未作“原件”标注的，提供的资料可使用原件的复印件或影印件。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（四）合格的比选申请人（实质性要求）</w:t>
      </w:r>
    </w:p>
    <w:p>
      <w:pPr>
        <w:tabs>
          <w:tab w:val="left" w:pos="7665"/>
        </w:tabs>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1.具备“比选邀请”基本条件；</w:t>
      </w:r>
    </w:p>
    <w:p>
      <w:pPr>
        <w:tabs>
          <w:tab w:val="left" w:pos="7665"/>
        </w:tabs>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2.遵守国家有关的法律、法规和条例；</w:t>
      </w:r>
    </w:p>
    <w:p>
      <w:pPr>
        <w:tabs>
          <w:tab w:val="left" w:pos="7665"/>
        </w:tabs>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3.比选文件和法律、行政法规规定的其他条件。</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（五）参与比选的费用（实质性要求）</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比选申请人应自行承担参加比选活动的一切费用。</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（六）联合体响应（实质性要求）</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1.本项目是否接受联合体响应，以“比选申请人须知附表”为准。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highlight w:val="none"/>
        </w:rPr>
        <w:t>（以下仅适用接受联合体响应的情形）</w:t>
      </w:r>
      <w:r>
        <w:rPr>
          <w:rFonts w:hint="eastAsia" w:ascii="仿宋" w:hAnsi="仿宋" w:eastAsia="仿宋" w:cs="仿宋"/>
          <w:color w:val="auto"/>
          <w:sz w:val="24"/>
          <w:szCs w:val="24"/>
          <w:highlight w:val="none"/>
        </w:rPr>
        <w:t>两个以上比选申请人可以组成一个联合体比选，以一个比选申请人的身份比选。以联合体形式参加比选的，联合体各方均应当符合《中华人民共和国政府采购法》第二十二条规定的条件。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4.联合体应当确定其中一个单位为比选的全权代表，负责参加比选的一切事务。</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5.联合体各方应当共同与比选人签订采购合同，就采购合同约定的事项对比选人承担连带责任。</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6.联合体中有同类资质的比选申请人按照联合体分工承担相同工作的，将按照资质等级较低的比选申请人确定资质等级。</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7.以联合体形式参加比选活动的，联合体各方不得再单独参加或者与其他比选申请人另外组成联合体参加同一合同项下的比选活动。</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（七）比选保证金（实质性要求）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1.本项目是否交纳比选保证金，以“比选申请人须知附表”为准。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highlight w:val="none"/>
        </w:rPr>
        <w:t>（以下仅适用于交纳保证金的情形</w:t>
      </w:r>
      <w:r>
        <w:rPr>
          <w:rFonts w:hint="eastAsia" w:ascii="仿宋" w:hAnsi="仿宋" w:eastAsia="仿宋" w:cs="仿宋"/>
          <w:color w:val="auto"/>
          <w:sz w:val="24"/>
          <w:szCs w:val="24"/>
          <w:highlight w:val="none"/>
        </w:rPr>
        <w:t>）比选申请人应以人民币按比选文件要求足额缴纳比选保证金。联合体比选的，可以由联合体的一方或者共同提交比选保证金，以一方名义提交比选保证金的，对联合体各方均具有约束力。</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3.未按比选文件要求在规定时间前交纳规定数额比选保证金的比选申请文件无效。</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4.比选申请人所交纳的比选保证金不计利息。</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未成交人的比选保证金，将在成交通知书发出后五个工作日内全额退还。成交人的比选保证金，在合同签订生效并按规定交纳了履约保证金后五个工作日内全额退还。注：（1）因比选申请人自身原因造成的保证金延迟退还，比选人不承担相应责任；（2）比选申请人因涉嫌违法违规，按照规定应当不予退还保证金的，有关部门处理认定违法违规行为期间不计入退还保证金期限内。</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6.发生下列情形之一的，比选人将不予退还比选保证金：</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（1）在比选文件规定的提交比选申请文件截止时间后撤回比选申请文件的；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（2）在比选人确定成交人之前放弃成交候选资格的；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（3）成交后放弃、不领取或者不接收成交通知书的；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（4）由于成交人的原因未能按照比选文件的规定与比选人签订合同的；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（5）由于成交人的原因未能按照比选文件的规定交纳履约保证金的；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（6）比选申请人在比选活动中提供虚假材料的；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（7）报价有效期内，比选申请人在比选活动中有违法、违规、违纪行为。</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（8）比选文件规定的其他不予退还比选保证金的情形。</w:t>
      </w:r>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三、比选文件</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（一）比选文件的构成</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bookmarkStart w:id="12" w:name="_Toc183682348"/>
      <w:bookmarkStart w:id="13" w:name="_Toc183582211"/>
      <w:bookmarkStart w:id="14" w:name="_Toc217446040"/>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（二）比选文件的澄清</w:t>
      </w:r>
      <w:bookmarkEnd w:id="12"/>
      <w:bookmarkEnd w:id="13"/>
      <w:r>
        <w:rPr>
          <w:rFonts w:hint="eastAsia" w:ascii="仿宋" w:hAnsi="仿宋" w:eastAsia="仿宋" w:cs="仿宋"/>
          <w:b/>
          <w:color w:val="auto"/>
          <w:sz w:val="24"/>
          <w:szCs w:val="24"/>
          <w:highlight w:val="none"/>
        </w:rPr>
        <w:t>和修改</w:t>
      </w:r>
      <w:bookmarkEnd w:id="14"/>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1.在提交比选申请文件截止时间前，比选人可以对比选文件进行澄清或者修改。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2.比选人对已发出的比选文件进行澄清或者修改，比选人将在网上发布更正公告。</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pStyle w:val="5"/>
        <w:keepNext w:val="0"/>
        <w:keepLines w:val="0"/>
        <w:spacing w:before="0" w:after="0" w:line="360" w:lineRule="auto"/>
        <w:ind w:firstLine="482" w:firstLineChars="200"/>
        <w:rPr>
          <w:rFonts w:ascii="仿宋" w:hAnsi="仿宋" w:cs="仿宋"/>
          <w:color w:val="auto"/>
          <w:sz w:val="24"/>
          <w:highlight w:val="none"/>
        </w:rPr>
      </w:pPr>
      <w:r>
        <w:rPr>
          <w:rFonts w:hint="eastAsia" w:ascii="仿宋" w:hAnsi="仿宋" w:cs="仿宋"/>
          <w:color w:val="auto"/>
          <w:sz w:val="24"/>
          <w:szCs w:val="24"/>
          <w:highlight w:val="none"/>
        </w:rPr>
        <w:t>（三）</w:t>
      </w:r>
      <w:r>
        <w:rPr>
          <w:rFonts w:hint="eastAsia" w:ascii="仿宋" w:hAnsi="仿宋" w:cs="仿宋"/>
          <w:color w:val="auto"/>
          <w:sz w:val="24"/>
          <w:highlight w:val="none"/>
        </w:rPr>
        <w:t>答疑会和现场考察</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1.本项目现场答疑考察与否，以“比选申请人须知附表”为准。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highlight w:val="none"/>
        </w:rPr>
        <w:t>（以下仅适用接受</w:t>
      </w:r>
      <w:r>
        <w:rPr>
          <w:rFonts w:hint="eastAsia" w:ascii="仿宋" w:hAnsi="仿宋" w:eastAsia="仿宋" w:cs="仿宋"/>
          <w:b/>
          <w:color w:val="auto"/>
          <w:sz w:val="24"/>
          <w:szCs w:val="24"/>
          <w:highlight w:val="none"/>
        </w:rPr>
        <w:t>现场答疑考察</w:t>
      </w:r>
      <w:r>
        <w:rPr>
          <w:rFonts w:hint="eastAsia" w:ascii="仿宋" w:hAnsi="仿宋" w:eastAsia="仿宋" w:cs="仿宋"/>
          <w:b/>
          <w:color w:val="auto"/>
          <w:sz w:val="24"/>
          <w:highlight w:val="none"/>
        </w:rPr>
        <w:t>的情形）</w:t>
      </w:r>
      <w:r>
        <w:rPr>
          <w:rFonts w:hint="eastAsia" w:ascii="仿宋" w:hAnsi="仿宋" w:eastAsia="仿宋" w:cs="仿宋"/>
          <w:color w:val="auto"/>
          <w:sz w:val="24"/>
          <w:szCs w:val="24"/>
          <w:highlight w:val="none"/>
        </w:rPr>
        <w:t>根据比选项目和具体情况，比选人认为有必要，可以在比选文件提供期限截止后首次比选申请文件提交截止前，组织已获取比选文件的潜在比选申请人现场考察或者召开答疑会。</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人组织现场考察或者召开答疑会的，将以书面形式通知所有获取比选文件的潜在比选申请人。比选申请人接到通知后，不按照要求参加现场考察或者答疑会的，视同放弃参加现场考察或者答疑的权利，比选人不再对该比选申请人重新组织，但也不会以此限制比选申请人提交比选申请文件或者以此将比选申请人比选申请文件直接作为无效处理。</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4.比选申请人考察现场或者参加答疑会所发生的一切费用由比选申请人自己承担。</w:t>
      </w:r>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四、比选申请文件</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（一）比选申请文件的组成</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比选申请人应按照比选文件的规定和要求编制比选申请文件。</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（二）比选申请文件的语言（实质性要求）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人提交的比选申请文件以及比选申请人与比选人就有关报价的所有来往书面文件均应使用中文。比选申请文件中如附有外文资料，应当逐一对应翻译成中文并加盖比选申请人公章后附在相关外文资料后面，所提供的外文资料将被视为无效材料。</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3.如因未翻译而造成的比选申请文件无效风险，由比选申请人承担。</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4.比选申请文件对不同文字文本的解释发生异议的，以中文文本为准。</w:t>
      </w:r>
      <w:bookmarkStart w:id="15" w:name="_Toc183682353"/>
      <w:bookmarkStart w:id="16" w:name="_Toc217446044"/>
      <w:bookmarkStart w:id="17" w:name="_Toc183582216"/>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（三）计量单位</w:t>
      </w:r>
      <w:bookmarkEnd w:id="15"/>
      <w:bookmarkEnd w:id="16"/>
      <w:bookmarkEnd w:id="17"/>
      <w:r>
        <w:rPr>
          <w:rFonts w:hint="eastAsia" w:ascii="仿宋" w:hAnsi="仿宋" w:eastAsia="仿宋" w:cs="仿宋"/>
          <w:b/>
          <w:color w:val="auto"/>
          <w:sz w:val="24"/>
          <w:szCs w:val="24"/>
          <w:highlight w:val="none"/>
        </w:rPr>
        <w:t>（实质性要求）</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（四）报价（实质性要求）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1.本次比选项目的报价货币为人民币，报价以比选文件规定为准。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2.比选申请人的报价应是比选申请人响应比选项目要求的全部工作内容的价格体现，是最终用户验收合格后的总价，包含了比选申请人完成本项目所需的一切费用，即项目包干价。</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（五）比选申请文件有效期（实质性要求）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本项目比选申请文件有效期为提交比选首次比选申请文件截止之日起</w:t>
      </w:r>
      <w:r>
        <w:rPr>
          <w:rFonts w:hint="eastAsia" w:ascii="仿宋" w:hAnsi="仿宋" w:eastAsia="仿宋" w:cs="仿宋"/>
          <w:b/>
          <w:bCs/>
          <w:color w:val="auto"/>
          <w:sz w:val="24"/>
          <w:szCs w:val="24"/>
          <w:highlight w:val="none"/>
        </w:rPr>
        <w:t>90</w:t>
      </w:r>
      <w:r>
        <w:rPr>
          <w:rFonts w:hint="eastAsia" w:ascii="仿宋" w:hAnsi="仿宋" w:eastAsia="仿宋" w:cs="仿宋"/>
          <w:color w:val="auto"/>
          <w:sz w:val="24"/>
          <w:szCs w:val="24"/>
          <w:highlight w:val="none"/>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（六）知识产权（实质性要求）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2.除非比选文件特别规定，比选人享有本项目实施过程中产生的知识成果及知识产权。</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4.如采用比选申请人所不拥有的知识产权，则在报价中必须包括合法获取该知识产权的相关费用。</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（七）比选申请文件格式</w:t>
      </w:r>
    </w:p>
    <w:p>
      <w:pPr>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比选申请人可参照比选文件的提供的格式，进行编制比选申请文件。</w:t>
      </w:r>
    </w:p>
    <w:p>
      <w:pPr>
        <w:pStyle w:val="5"/>
        <w:keepNext w:val="0"/>
        <w:keepLines w:val="0"/>
        <w:spacing w:before="0" w:after="0" w:line="360" w:lineRule="auto"/>
        <w:ind w:firstLine="482" w:firstLineChars="200"/>
        <w:rPr>
          <w:rFonts w:ascii="仿宋" w:hAnsi="仿宋" w:cs="仿宋"/>
          <w:color w:val="auto"/>
          <w:sz w:val="24"/>
          <w:highlight w:val="none"/>
        </w:rPr>
      </w:pPr>
      <w:r>
        <w:rPr>
          <w:rFonts w:hint="eastAsia" w:ascii="仿宋" w:hAnsi="仿宋" w:cs="仿宋"/>
          <w:color w:val="auto"/>
          <w:sz w:val="24"/>
          <w:szCs w:val="24"/>
          <w:highlight w:val="none"/>
        </w:rPr>
        <w:t>（八）比选申请文件的编制和签署</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1.比选申请文件正本1份。</w:t>
      </w:r>
      <w:r>
        <w:rPr>
          <w:rFonts w:hint="eastAsia" w:ascii="仿宋" w:hAnsi="仿宋" w:eastAsia="仿宋" w:cs="仿宋"/>
          <w:b/>
          <w:bCs/>
          <w:color w:val="auto"/>
          <w:sz w:val="24"/>
          <w:szCs w:val="32"/>
          <w:highlight w:val="none"/>
        </w:rPr>
        <w:t>（实质性要求）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3.比选申请文件密封袋的最外层可以注明比选项目名称、包号及名称（若有）、比选申请人名称、“正本”或“副本”字样。</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4.比选申请文件应根据比选文件的要求签署、盖章。</w:t>
      </w:r>
      <w:r>
        <w:rPr>
          <w:rFonts w:hint="eastAsia" w:ascii="仿宋" w:hAnsi="仿宋" w:eastAsia="仿宋" w:cs="仿宋"/>
          <w:b/>
          <w:bCs/>
          <w:color w:val="auto"/>
          <w:sz w:val="24"/>
          <w:szCs w:val="32"/>
          <w:highlight w:val="none"/>
        </w:rPr>
        <w:t>（实质性要求）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5.比选申请文件正本和副本可采用打印或用不褪色、不变质的墨水书写，比选申请文件副本可采用正本的复印件。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6.比选申请文件若涉及，行间插字、涂改或增删，应由比选申请人的法定代表人/单位负责人或其授权代表签字并盖比选申请人公章。</w:t>
      </w:r>
      <w:r>
        <w:rPr>
          <w:rFonts w:hint="eastAsia" w:ascii="仿宋" w:hAnsi="仿宋" w:eastAsia="仿宋" w:cs="仿宋"/>
          <w:b/>
          <w:bCs/>
          <w:color w:val="auto"/>
          <w:sz w:val="24"/>
          <w:szCs w:val="24"/>
          <w:highlight w:val="none"/>
        </w:rPr>
        <w:t>（实质性要求）</w:t>
      </w:r>
    </w:p>
    <w:p>
      <w:pPr>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仿宋" w:hAnsi="仿宋" w:eastAsia="仿宋" w:cs="仿宋"/>
          <w:b/>
          <w:bCs/>
          <w:color w:val="auto"/>
          <w:sz w:val="24"/>
          <w:szCs w:val="24"/>
          <w:highlight w:val="none"/>
        </w:rPr>
        <w:t>（实质性要求）</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4"/>
          <w:highlight w:val="none"/>
        </w:rPr>
        <w:t>8.比选申请文件正本和副本可以采用A4幅面纸胶装方式装订成册并逐页编码。</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（九）比选申请文件的密封</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1.比选申请文件正本和副本可以单独密封包装，也可以所有比选申请文件密封包装在一个密封袋内。</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2.比选申请文件所有外层应当密封完好。</w:t>
      </w:r>
      <w:r>
        <w:rPr>
          <w:rFonts w:hint="eastAsia" w:ascii="仿宋" w:hAnsi="仿宋" w:eastAsia="仿宋" w:cs="仿宋"/>
          <w:b/>
          <w:color w:val="auto"/>
          <w:sz w:val="24"/>
          <w:szCs w:val="24"/>
          <w:highlight w:val="none"/>
        </w:rPr>
        <w:t>（实质性要求）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3.未密封的比选申请文件，比选人将拒收或者在法定时间允许的范围内，要求修改完善后接收。</w:t>
      </w:r>
      <w:r>
        <w:rPr>
          <w:rFonts w:hint="eastAsia" w:ascii="仿宋" w:hAnsi="仿宋" w:eastAsia="仿宋" w:cs="仿宋"/>
          <w:b/>
          <w:color w:val="auto"/>
          <w:sz w:val="24"/>
          <w:szCs w:val="24"/>
          <w:highlight w:val="none"/>
        </w:rPr>
        <w:t>（实质性要求）</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（十）比选申请文件的提交</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1.比选申请文件应在提交首次比选申请文件截止时间前送达。</w:t>
      </w:r>
      <w:r>
        <w:rPr>
          <w:rFonts w:hint="eastAsia" w:ascii="仿宋" w:hAnsi="仿宋" w:eastAsia="仿宋" w:cs="仿宋"/>
          <w:b/>
          <w:color w:val="auto"/>
          <w:sz w:val="24"/>
          <w:szCs w:val="24"/>
          <w:highlight w:val="none"/>
        </w:rPr>
        <w:t>（实质性要求）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2.逾期送达或者未密封的比选申请文件，比选人应当拒收。</w:t>
      </w:r>
      <w:r>
        <w:rPr>
          <w:rFonts w:hint="eastAsia" w:ascii="仿宋" w:hAnsi="仿宋" w:eastAsia="仿宋" w:cs="仿宋"/>
          <w:b/>
          <w:color w:val="auto"/>
          <w:sz w:val="24"/>
          <w:szCs w:val="24"/>
          <w:highlight w:val="none"/>
        </w:rPr>
        <w:t>（实质性要求）</w:t>
      </w:r>
    </w:p>
    <w:p>
      <w:pPr>
        <w:spacing w:line="360" w:lineRule="auto"/>
        <w:ind w:firstLine="482" w:firstLineChars="200"/>
        <w:outlineLvl w:val="2"/>
        <w:rPr>
          <w:rFonts w:ascii="仿宋" w:hAnsi="仿宋" w:eastAsia="仿宋" w:cs="仿宋"/>
          <w:b/>
          <w:color w:val="auto"/>
          <w:sz w:val="24"/>
          <w:szCs w:val="24"/>
          <w:highlight w:val="none"/>
        </w:rPr>
      </w:pPr>
      <w:bookmarkStart w:id="18" w:name="_Toc217446055"/>
      <w:bookmarkStart w:id="19" w:name="_Toc183582228"/>
      <w:bookmarkStart w:id="20" w:name="_Toc183682365"/>
      <w:r>
        <w:rPr>
          <w:rFonts w:hint="eastAsia" w:ascii="仿宋" w:hAnsi="仿宋" w:eastAsia="仿宋" w:cs="仿宋"/>
          <w:b/>
          <w:color w:val="auto"/>
          <w:sz w:val="24"/>
          <w:szCs w:val="24"/>
          <w:highlight w:val="none"/>
        </w:rPr>
        <w:t>（十一）比选申请文件的修改和撤回</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人在提交比选申请文件后可对其比选申请文件进行修改或撤回，但该修改或撤回的书面通知须在提交截止时间之前送达比选人，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2.比选申请人对比选申请文件修改的书面材料或撤回的通知应该按规定进行编写、密封、标注和递送，并注明“修改比选申请文件”字样。</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3.比选申请人不得在提交截止时间起至比选申请文件有效期期满前撤回其比选申请文件。否则其比选保证金将按相关规定不予退还。</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4.比选申请人对其提交的比选申请文件的真实性、合法性承担法律责任。</w:t>
      </w:r>
      <w:bookmarkEnd w:id="18"/>
      <w:bookmarkEnd w:id="19"/>
      <w:bookmarkEnd w:id="20"/>
    </w:p>
    <w:p>
      <w:pPr>
        <w:tabs>
          <w:tab w:val="left" w:pos="7665"/>
        </w:tabs>
        <w:spacing w:line="520" w:lineRule="exact"/>
        <w:ind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五、比选评审</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（一）比选评审</w:t>
      </w:r>
    </w:p>
    <w:p>
      <w:pPr>
        <w:spacing w:line="360" w:lineRule="auto"/>
        <w:ind w:firstLine="480" w:firstLineChars="200"/>
        <w:rPr>
          <w:rFonts w:ascii="仿宋" w:hAnsi="仿宋" w:eastAsia="仿宋" w:cs="仿宋"/>
          <w:b/>
          <w:color w:val="auto"/>
          <w:sz w:val="28"/>
          <w:szCs w:val="28"/>
          <w:highlight w:val="none"/>
        </w:rPr>
      </w:pPr>
      <w:r>
        <w:rPr>
          <w:rFonts w:hint="eastAsia" w:ascii="仿宋" w:hAnsi="仿宋" w:eastAsia="仿宋" w:cs="仿宋"/>
          <w:color w:val="auto"/>
          <w:sz w:val="24"/>
          <w:szCs w:val="24"/>
          <w:highlight w:val="none"/>
        </w:rPr>
        <w:t>详见第五章</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（二）成交通知书</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1.成交通知书为签订采购合同的依据之一，是合同的有效组成部分。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2成交通知书对比选人和成交人均具有法律效力。成交通知书发出后，比选人无正当理由改变成交结果，或者成交人无正当理由放弃成交的，将承担相应的法律责任。</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3.成交人的比选申请文件作为无效比选申请文件处理或者有其他规定的成交无效情形的，比选人在取得有权主体的认定以后，有权宣布发出的成交通知书无效，并收回发出的成交通知书，依法重新确定成交人或者重新开展比选活动。</w:t>
      </w:r>
    </w:p>
    <w:p>
      <w:pPr>
        <w:spacing w:line="360" w:lineRule="auto"/>
        <w:ind w:firstLine="281" w:firstLineChars="1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六、合同事项</w:t>
      </w:r>
    </w:p>
    <w:p>
      <w:pPr>
        <w:spacing w:line="360" w:lineRule="auto"/>
        <w:ind w:firstLine="482" w:firstLineChars="200"/>
        <w:outlineLvl w:val="2"/>
        <w:rPr>
          <w:rFonts w:ascii="仿宋" w:hAnsi="仿宋" w:eastAsia="仿宋" w:cs="仿宋"/>
          <w:b/>
          <w:color w:val="auto"/>
          <w:sz w:val="24"/>
          <w:szCs w:val="24"/>
          <w:highlight w:val="none"/>
        </w:rPr>
      </w:pPr>
      <w:bookmarkStart w:id="21" w:name="_Toc209847069"/>
      <w:bookmarkStart w:id="22" w:name="_Toc101174151"/>
      <w:bookmarkStart w:id="23" w:name="_Toc430773927"/>
      <w:bookmarkStart w:id="24" w:name="_Toc101338364"/>
      <w:bookmarkStart w:id="25" w:name="_Toc101250646"/>
      <w:r>
        <w:rPr>
          <w:rFonts w:hint="eastAsia" w:ascii="仿宋" w:hAnsi="仿宋" w:eastAsia="仿宋" w:cs="仿宋"/>
          <w:b/>
          <w:color w:val="auto"/>
          <w:sz w:val="24"/>
          <w:szCs w:val="24"/>
          <w:highlight w:val="none"/>
        </w:rPr>
        <w:t>（一）签订合同</w:t>
      </w:r>
      <w:bookmarkEnd w:id="21"/>
      <w:bookmarkEnd w:id="22"/>
      <w:bookmarkEnd w:id="23"/>
      <w:bookmarkEnd w:id="24"/>
      <w:bookmarkEnd w:id="25"/>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1.成交人应在成交通知书发出之日起30日内与比选人签订采购合同。由于成交人的原因逾期未与比选人签订采购合同的，将视为放弃成交，取消其成交资格并将按相关规定进行处理。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2.比选文件、成交人的比选申请文件及双方确认的澄清文件等，均为有法律约束力的经济合同的组成部分。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3.比选人不得向成交人提出任何不合理的要求，作为签订合同的条件，不得与成交人私下订立背离合同实质性内容的任何协议，所签订的合同不得对比选文件和成交人比选申请文件确定的事项进行修改。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4.成交人因不可抗力原因不能履行采购合同或放弃成交的，比选人可以与排在成交人之后第一位的成交候选人签订采购合同，以此类推。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5.比选文件、成交人提交的比选申请文件、比选中的报价、成交人承诺书、成交通知书等均称为有法律约束力的合同组成内容。</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（二）合同分包（实质性要求）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1.本项目是否接受合同分包，以“比选申请人须知附表”为准。</w:t>
      </w:r>
    </w:p>
    <w:p>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highlight w:val="none"/>
        </w:rPr>
        <w:t>（以下仅适用接受</w:t>
      </w:r>
      <w:r>
        <w:rPr>
          <w:rFonts w:hint="eastAsia" w:ascii="仿宋" w:hAnsi="仿宋" w:eastAsia="仿宋" w:cs="仿宋"/>
          <w:b/>
          <w:color w:val="auto"/>
          <w:sz w:val="24"/>
          <w:szCs w:val="24"/>
          <w:highlight w:val="none"/>
        </w:rPr>
        <w:t>合同分包</w:t>
      </w:r>
      <w:r>
        <w:rPr>
          <w:rFonts w:hint="eastAsia" w:ascii="仿宋" w:hAnsi="仿宋" w:eastAsia="仿宋" w:cs="仿宋"/>
          <w:b/>
          <w:color w:val="auto"/>
          <w:sz w:val="24"/>
          <w:highlight w:val="none"/>
        </w:rPr>
        <w:t>的情形）</w:t>
      </w:r>
      <w:r>
        <w:rPr>
          <w:rFonts w:hint="eastAsia" w:ascii="仿宋" w:hAnsi="仿宋" w:eastAsia="仿宋" w:cs="仿宋"/>
          <w:color w:val="auto"/>
          <w:sz w:val="24"/>
          <w:szCs w:val="24"/>
          <w:highlight w:val="none"/>
          <w:lang w:val="zh-CN"/>
        </w:rPr>
        <w:t>比选申请人根据比选文件的规定和比选项目的实际情况，拟在成交后将成交项目的非主体、非关键性工作分包的，应当在比选申请文件中事前载明。分包比选申请人履行的分包项目的品牌、规格型号及技术要求等，必须与成交的一致。</w:t>
      </w:r>
    </w:p>
    <w:p>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分包履行合同的部分应当为比选项目的非主体、非关键性工作，不属于成交人的主要合同义务。本项目可以分包履行的具体内容、金额或者比例。</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（三）合同转包（实质性要求）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比选项目严禁成交人将任何采购合同义务转包。本项目所称转包，是指成交人将采购合同义务转让给第三人，并退出现有采购合同当事人双方的权利义务关系，受让人（即第三人）成为采购合同的另一方当事人的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2.成交人转包的，视同拒绝履行采购合同义务，将依法追究法律责任。</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（四）履约保证金（实质性要求）</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1.本项目是否交纳履约保证金，以“比选申请人须知附表”为准。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（以下仅适用于交纳履约保证金的情形）</w:t>
      </w:r>
      <w:r>
        <w:rPr>
          <w:rFonts w:hint="eastAsia" w:ascii="仿宋" w:hAnsi="仿宋" w:eastAsia="仿宋" w:cs="仿宋"/>
          <w:color w:val="auto"/>
          <w:sz w:val="24"/>
          <w:szCs w:val="24"/>
          <w:highlight w:val="none"/>
        </w:rPr>
        <w:t>成交人应在合同签订之前交纳比选文件规定数额的履约保证金。</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3.如果成交人在规定的合同签订时间内，没有按照比选文件的规定交纳履约保证金，且又无正当理由的，将视为放弃成交。</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4.履约保证金退还方式及时间：以“比选申请人须知附表”为准。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5.履约保证金不予退还情形：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（1）成交人不履行与比选人订立的合同的，给比选人造成的损失超过履约保证金数额的，还应当对超过部分予以赔偿；</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（2）项目验收结果不合格的；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（3）其他违反国家相关法律法规的情形；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（4）比选文件中规定不予退还的情形。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6.履约保证金不予退还的，将按照有关规定上缴国库。逾期退还履约保证金的，将依法承担法律责任。</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（五）履行合同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1.成交人与比选人签订合同后，合同双方应严格执行合同条款，履行合同规定的义务，保证合同的顺利完成。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（六）验收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2.验收结果合格的，成交人凭验收报告办理相关手续；验收结果不合格的，履约保证金将不予退还，也将不予支付采购资金，还可能会报告主管部门予以处罚。</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（七）合同价款支付</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比选人将按照采购合同规定，及时向成交人支付采购资金。本项目采购资金付款详见第四章规定的付款方式。</w:t>
      </w:r>
    </w:p>
    <w:p>
      <w:pPr>
        <w:spacing w:line="360" w:lineRule="auto"/>
        <w:ind w:firstLine="281" w:firstLineChars="1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七、比选纪律要求（实质性要求）</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（一）比选申请人纪律要求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1.比选申请人应当遵循公平竞争的原则，不得恶意串通，不得妨碍其他比选申请人的竞争行为，不得损害比选人或者其他比选申请人的合法权益。</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2.在比选过程中发现比选申请人有上述情形的，比选评审委员会应当认定其无效响应，并书面报告主管部门。</w:t>
      </w:r>
    </w:p>
    <w:p>
      <w:pPr>
        <w:spacing w:line="360" w:lineRule="auto"/>
        <w:ind w:firstLine="482" w:firstLineChars="200"/>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（二）比选申请人禁止性行为，比选申请人参加本项目比选不得具有以下情形：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（2）采取不正当手段诋毁、排挤其他比选申请人；</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（3）与比选人、或其他比选申请人恶意串通；</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（4）向比选人、比选评审委员会成员行贿或者提供其他不正当利益；</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（5）在比选过程中与比选人进行协商；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（6）成交后无正当理由拒不与比选人签订采购合同；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（7）未按照比选文件确定的事项签订采购合同；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（8）将采购合同转包或者违规分包；</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（9）提供假冒伪劣产品；</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（10）擅自变更、中止或者终止采购合同；</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（11）拒绝有关部门的监督检查或者向监督检查部门提供虚假情况；</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（12）法律法规规定的其他情形。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比选申请人有上述情形的，按照规定追究法律责任，具备（1）-（10）条情形之一的，同时将取消被确认为成交人的资格或者认定成交无效。</w:t>
      </w:r>
    </w:p>
    <w:p>
      <w:pPr>
        <w:spacing w:line="360" w:lineRule="auto"/>
        <w:ind w:firstLine="281" w:firstLineChars="100"/>
        <w:jc w:val="center"/>
        <w:outlineLvl w:val="1"/>
        <w:rPr>
          <w:rFonts w:ascii="仿宋" w:hAnsi="仿宋" w:eastAsia="仿宋" w:cs="仿宋"/>
          <w:color w:val="auto"/>
          <w:sz w:val="24"/>
          <w:szCs w:val="24"/>
          <w:highlight w:val="none"/>
        </w:rPr>
      </w:pPr>
      <w:r>
        <w:rPr>
          <w:rFonts w:hint="eastAsia" w:ascii="仿宋" w:hAnsi="仿宋" w:eastAsia="仿宋" w:cs="仿宋"/>
          <w:b/>
          <w:color w:val="auto"/>
          <w:sz w:val="28"/>
          <w:szCs w:val="28"/>
          <w:highlight w:val="none"/>
        </w:rPr>
        <w:t>八、其他</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（三）本项目涉及企业资质、产品认证、人员执业资格、行业标准等描述与国家最新要求不一致时以国家最新要求为准。</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ind w:firstLine="723" w:firstLineChars="200"/>
        <w:jc w:val="center"/>
        <w:outlineLvl w:val="0"/>
        <w:rPr>
          <w:rFonts w:ascii="仿宋" w:hAnsi="仿宋" w:eastAsia="仿宋" w:cs="仿宋"/>
          <w:bCs/>
          <w:color w:val="auto"/>
          <w:sz w:val="36"/>
          <w:szCs w:val="36"/>
          <w:highlight w:val="none"/>
        </w:rPr>
      </w:pPr>
      <w:bookmarkStart w:id="26" w:name="_Toc24467"/>
      <w:bookmarkStart w:id="27" w:name="_Toc21303"/>
      <w:r>
        <w:rPr>
          <w:rFonts w:hint="eastAsia" w:ascii="仿宋" w:hAnsi="仿宋" w:eastAsia="仿宋" w:cs="仿宋"/>
          <w:b/>
          <w:color w:val="auto"/>
          <w:sz w:val="36"/>
          <w:szCs w:val="36"/>
          <w:highlight w:val="none"/>
        </w:rPr>
        <w:t>第三章 资格审查</w:t>
      </w:r>
      <w:bookmarkEnd w:id="26"/>
      <w:bookmarkEnd w:id="27"/>
    </w:p>
    <w:p>
      <w:pPr>
        <w:widowControl/>
        <w:spacing w:line="360" w:lineRule="atLeast"/>
        <w:ind w:firstLine="470" w:firstLineChars="196"/>
        <w:rPr>
          <w:rFonts w:ascii="仿宋" w:hAnsi="仿宋" w:eastAsia="仿宋" w:cs="仿宋"/>
          <w:color w:val="auto"/>
          <w:sz w:val="24"/>
          <w:highlight w:val="none"/>
        </w:rPr>
      </w:pPr>
    </w:p>
    <w:tbl>
      <w:tblPr>
        <w:tblStyle w:val="1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360"/>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blHeader/>
        </w:trPr>
        <w:tc>
          <w:tcPr>
            <w:tcW w:w="457" w:type="dxa"/>
            <w:vAlign w:val="center"/>
          </w:tcPr>
          <w:p>
            <w:pPr>
              <w:adjustRightInd w:val="0"/>
              <w:spacing w:line="30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360" w:type="dxa"/>
            <w:vAlign w:val="center"/>
          </w:tcPr>
          <w:p>
            <w:pPr>
              <w:adjustRightInd w:val="0"/>
              <w:spacing w:line="30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本项目的资格要求</w:t>
            </w:r>
          </w:p>
        </w:tc>
        <w:tc>
          <w:tcPr>
            <w:tcW w:w="5357" w:type="dxa"/>
            <w:vAlign w:val="center"/>
          </w:tcPr>
          <w:p>
            <w:pPr>
              <w:adjustRightInd w:val="0"/>
              <w:spacing w:line="30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比选申请人应当提供的资格证明材料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0" w:hRule="atLeast"/>
        </w:trPr>
        <w:tc>
          <w:tcPr>
            <w:tcW w:w="457" w:type="dxa"/>
            <w:vAlign w:val="center"/>
          </w:tcPr>
          <w:p>
            <w:pPr>
              <w:spacing w:line="360" w:lineRule="auto"/>
              <w:jc w:val="center"/>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1</w:t>
            </w:r>
          </w:p>
        </w:tc>
        <w:tc>
          <w:tcPr>
            <w:tcW w:w="3360" w:type="dxa"/>
            <w:vAlign w:val="center"/>
          </w:tcPr>
          <w:p>
            <w:pPr>
              <w:spacing w:line="360" w:lineRule="auto"/>
              <w:jc w:val="center"/>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具有独立承担民事责任的能力</w:t>
            </w:r>
          </w:p>
        </w:tc>
        <w:tc>
          <w:tcPr>
            <w:tcW w:w="5357" w:type="dxa"/>
            <w:vAlign w:val="center"/>
          </w:tcPr>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（1）比选申请人若为企业法人：提供“统一社会信用代码营业执照”；未换证的提供“营业执照、税务登记证、组织机构代码证或三证合一的营业执照”；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（2）若为事业法人：提供“统一社会信用代码法人登记证书”；未换证的提交“事业法人登记证书、组织机构代码证”；</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（3）若为其他组织：提供“对应主管部门颁发的准许执业证明文件或营业执照”；</w:t>
            </w:r>
          </w:p>
          <w:p>
            <w:pPr>
              <w:adjustRightInd w:val="0"/>
              <w:spacing w:line="500" w:lineRule="exact"/>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3" w:hRule="atLeast"/>
        </w:trPr>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具有健全的财务会计制度</w:t>
            </w:r>
          </w:p>
        </w:tc>
        <w:tc>
          <w:tcPr>
            <w:tcW w:w="5357" w:type="dxa"/>
            <w:vAlign w:val="center"/>
          </w:tcPr>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比选申请人根据自身情况选择提供其中任意一项：</w:t>
            </w:r>
          </w:p>
          <w:p>
            <w:pPr>
              <w:adjustRightInd w:val="0"/>
              <w:spacing w:line="500" w:lineRule="exact"/>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（1）可提供2022或2023年度经审计的财务报告复印件（包含审计报告和审计报告中所涉及的财务报表和报表附注）；</w:t>
            </w:r>
          </w:p>
          <w:p>
            <w:pPr>
              <w:adjustRightInd w:val="0"/>
              <w:spacing w:line="500" w:lineRule="exact"/>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（2）也可提供供应商内部的2022或2023年度财务报表复印件（至少包含资产负债表）；</w:t>
            </w:r>
          </w:p>
          <w:p>
            <w:pPr>
              <w:adjustRightInd w:val="0"/>
              <w:spacing w:line="500" w:lineRule="exact"/>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（3）也可提供截至提交首次响应文件截止日一年内银行出具的资信证明（复印件）；</w:t>
            </w:r>
          </w:p>
          <w:p>
            <w:pPr>
              <w:adjustRightInd w:val="0"/>
              <w:spacing w:line="500" w:lineRule="exact"/>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（4）供应商注册时间截至提交首次响应文件截止日不足一年的，也可提供工商管理部门备案的公司章程（复印件）；</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bCs/>
                <w:color w:val="auto"/>
                <w:sz w:val="24"/>
                <w:szCs w:val="24"/>
                <w:highlight w:val="none"/>
              </w:rPr>
              <w:t>（5）供应商也可提供承诺函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具有良好的商业信誉和履行合同所必需的设备和专业技术能力</w:t>
            </w:r>
          </w:p>
        </w:tc>
        <w:tc>
          <w:tcPr>
            <w:tcW w:w="5357" w:type="dxa"/>
            <w:vMerge w:val="restart"/>
            <w:vAlign w:val="center"/>
          </w:tcPr>
          <w:p>
            <w:pPr>
              <w:adjustRightInd w:val="0"/>
              <w:spacing w:line="300"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统一提供承诺函</w:t>
            </w:r>
          </w:p>
          <w:p>
            <w:pPr>
              <w:adjustRightInd w:val="0"/>
              <w:spacing w:line="300"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有依法缴纳税收和社会保障资金的良好记录</w:t>
            </w:r>
          </w:p>
        </w:tc>
        <w:tc>
          <w:tcPr>
            <w:tcW w:w="5357" w:type="dxa"/>
            <w:vMerge w:val="continue"/>
            <w:vAlign w:val="center"/>
          </w:tcPr>
          <w:p>
            <w:pPr>
              <w:adjustRightInd w:val="0"/>
              <w:spacing w:line="300" w:lineRule="auto"/>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参加本次比选活动前三年内，在经营活动中没有重大违法记录</w:t>
            </w:r>
          </w:p>
        </w:tc>
        <w:tc>
          <w:tcPr>
            <w:tcW w:w="5357" w:type="dxa"/>
            <w:vMerge w:val="continue"/>
            <w:vAlign w:val="center"/>
          </w:tcPr>
          <w:p>
            <w:pPr>
              <w:adjustRightInd w:val="0"/>
              <w:spacing w:line="300" w:lineRule="auto"/>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trPr>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供应商及其现任法定代表人（非法人机构则为主要负责人）不得具有行贿犯罪记录；</w:t>
            </w:r>
          </w:p>
        </w:tc>
        <w:tc>
          <w:tcPr>
            <w:tcW w:w="5357" w:type="dxa"/>
            <w:vMerge w:val="continue"/>
            <w:vAlign w:val="center"/>
          </w:tcPr>
          <w:p>
            <w:pPr>
              <w:adjustRightInd w:val="0"/>
              <w:spacing w:line="300" w:lineRule="auto"/>
              <w:rPr>
                <w:rFonts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3360" w:type="dxa"/>
            <w:vAlign w:val="center"/>
          </w:tcPr>
          <w:p>
            <w:pPr>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其他类似效力要求：</w:t>
            </w:r>
          </w:p>
          <w:p>
            <w:pPr>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1.授权参加本次采购活动的供应商代表证明；</w:t>
            </w:r>
          </w:p>
          <w:p>
            <w:pPr>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2.按照规定获取了采购文件；</w:t>
            </w:r>
          </w:p>
        </w:tc>
        <w:tc>
          <w:tcPr>
            <w:tcW w:w="5357" w:type="dxa"/>
            <w:vAlign w:val="center"/>
          </w:tcPr>
          <w:p>
            <w:pPr>
              <w:adjustRightInd w:val="0"/>
              <w:spacing w:line="50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1.供应商根据自身情况选择提供其中任意一项：</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（1）供应商代表为“授权代表”时，提供授权委托书；</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（2）供应商代表为“法定代表人（单位负责人）”时，提供法定代表人（单位负责人）身份证明；</w:t>
            </w:r>
          </w:p>
          <w:p>
            <w:pPr>
              <w:adjustRightInd w:val="0"/>
              <w:spacing w:line="50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（格式详见第六章）</w:t>
            </w:r>
          </w:p>
          <w:p>
            <w:pPr>
              <w:spacing w:line="360" w:lineRule="auto"/>
              <w:jc w:val="lef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2.按照规定获取了采购文件：</w:t>
            </w:r>
            <w:r>
              <w:rPr>
                <w:rFonts w:hint="eastAsia" w:ascii="仿宋" w:hAnsi="仿宋" w:eastAsia="仿宋" w:cs="仿宋"/>
                <w:bCs/>
                <w:color w:val="auto"/>
                <w:sz w:val="24"/>
                <w:szCs w:val="24"/>
                <w:highlight w:val="none"/>
              </w:rPr>
              <w:t>本项由采购人提供材料，供应商无需提供证明材料；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adjustRightInd w:val="0"/>
              <w:spacing w:line="300"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供应商截止至本项目比选申请文件递交截止时间未被列入“信用中国”网站(www.creditchina.gov.cn)、“中国政府采购网”网站(www.ccgp.gov.cn) 中任一网站的失信被执行人名单或税收违法黑名单或政府采购严重违法失信行为记录名单；</w:t>
            </w:r>
          </w:p>
        </w:tc>
        <w:tc>
          <w:tcPr>
            <w:tcW w:w="5357" w:type="dxa"/>
            <w:vAlign w:val="center"/>
          </w:tcPr>
          <w:p>
            <w:pPr>
              <w:adjustRightInd w:val="0"/>
              <w:spacing w:line="5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供应商提供信用中国（www.creditchina.gov.cn）及中国政府采购网（www.ccgp.gov.cn）查询截图；</w:t>
            </w:r>
          </w:p>
          <w:p>
            <w:pPr>
              <w:adjustRightInd w:val="0"/>
              <w:spacing w:line="500" w:lineRule="exact"/>
              <w:jc w:val="left"/>
              <w:rPr>
                <w:rFonts w:ascii="仿宋" w:hAnsi="仿宋" w:eastAsia="仿宋" w:cs="仿宋"/>
                <w:color w:val="auto"/>
                <w:sz w:val="24"/>
                <w:szCs w:val="24"/>
                <w:highlight w:val="none"/>
              </w:rPr>
            </w:pPr>
            <w:r>
              <w:rPr>
                <w:rFonts w:hint="eastAsia" w:ascii="仿宋" w:hAnsi="仿宋" w:eastAsia="仿宋" w:cs="仿宋"/>
                <w:bCs/>
                <w:color w:val="auto"/>
                <w:sz w:val="24"/>
                <w:highlight w:val="none"/>
              </w:rPr>
              <w:t>使用规则：对列入失信被执行人、重大税收违法案件当事人名单、政府采购严重违法失信行为记录名单的供应商，资格审查不予通过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adjustRightInd w:val="0"/>
              <w:spacing w:line="300"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336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本项目的特定资格要求</w:t>
            </w:r>
          </w:p>
        </w:tc>
        <w:tc>
          <w:tcPr>
            <w:tcW w:w="5357" w:type="dxa"/>
            <w:vAlign w:val="center"/>
          </w:tcPr>
          <w:p>
            <w:pPr>
              <w:adjustRightInd w:val="0"/>
              <w:spacing w:line="300" w:lineRule="auto"/>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已在中国政府采购网进行网上登记备案；</w:t>
            </w:r>
            <w:r>
              <w:rPr>
                <w:rFonts w:hint="eastAsia" w:ascii="仿宋" w:hAnsi="仿宋" w:eastAsia="仿宋" w:cs="仿宋"/>
                <w:bCs/>
                <w:color w:val="auto"/>
                <w:sz w:val="24"/>
                <w:szCs w:val="24"/>
                <w:highlight w:val="none"/>
              </w:rPr>
              <w:t>（提供备案截图并加盖公章）</w:t>
            </w:r>
          </w:p>
        </w:tc>
      </w:tr>
    </w:tbl>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3"/>
        <w:spacing w:before="0" w:after="0" w:line="240" w:lineRule="auto"/>
        <w:ind w:left="1485" w:hanging="1485"/>
        <w:jc w:val="center"/>
        <w:rPr>
          <w:rFonts w:ascii="仿宋" w:hAnsi="仿宋" w:eastAsia="仿宋" w:cs="仿宋"/>
          <w:color w:val="auto"/>
          <w:sz w:val="36"/>
          <w:szCs w:val="36"/>
          <w:highlight w:val="none"/>
        </w:rPr>
      </w:pPr>
      <w:bookmarkStart w:id="28" w:name="_Toc13420"/>
      <w:bookmarkStart w:id="29" w:name="_Toc23416"/>
      <w:bookmarkStart w:id="30" w:name="_Toc3979"/>
      <w:bookmarkStart w:id="31" w:name="_Toc8246"/>
      <w:r>
        <w:rPr>
          <w:rFonts w:hint="eastAsia" w:ascii="仿宋" w:hAnsi="仿宋" w:eastAsia="仿宋" w:cs="仿宋"/>
          <w:color w:val="auto"/>
          <w:sz w:val="36"/>
          <w:szCs w:val="36"/>
          <w:highlight w:val="none"/>
        </w:rPr>
        <w:t xml:space="preserve">第四章 </w:t>
      </w:r>
      <w:bookmarkEnd w:id="28"/>
      <w:bookmarkEnd w:id="29"/>
      <w:r>
        <w:rPr>
          <w:rFonts w:hint="eastAsia" w:ascii="仿宋" w:hAnsi="仿宋" w:eastAsia="仿宋" w:cs="仿宋"/>
          <w:color w:val="auto"/>
          <w:sz w:val="36"/>
          <w:szCs w:val="36"/>
          <w:highlight w:val="none"/>
        </w:rPr>
        <w:t>比选内容及要求</w:t>
      </w:r>
      <w:bookmarkEnd w:id="30"/>
      <w:bookmarkEnd w:id="31"/>
    </w:p>
    <w:p>
      <w:pPr>
        <w:spacing w:line="360" w:lineRule="auto"/>
        <w:ind w:firstLine="442" w:firstLineChars="200"/>
        <w:rPr>
          <w:rFonts w:ascii="仿宋" w:hAnsi="仿宋" w:eastAsia="仿宋" w:cs="仿宋"/>
          <w:b/>
          <w:bCs/>
          <w:color w:val="auto"/>
          <w:sz w:val="28"/>
          <w:szCs w:val="24"/>
          <w:highlight w:val="none"/>
        </w:rPr>
      </w:pPr>
      <w:r>
        <w:rPr>
          <w:rFonts w:hint="eastAsia" w:ascii="仿宋" w:hAnsi="仿宋" w:eastAsia="仿宋" w:cs="仿宋"/>
          <w:b/>
          <w:bCs/>
          <w:color w:val="auto"/>
          <w:sz w:val="22"/>
          <w:highlight w:val="none"/>
        </w:rPr>
        <w:t>前提：本章中标注“★”的条款为实质性要求，未响应或不满足，按无效响应处理；</w:t>
      </w:r>
    </w:p>
    <w:p>
      <w:pPr>
        <w:autoSpaceDE w:val="0"/>
        <w:autoSpaceDN w:val="0"/>
        <w:snapToGrid w:val="0"/>
        <w:spacing w:line="360" w:lineRule="auto"/>
        <w:ind w:firstLine="551" w:firstLineChars="196"/>
        <w:outlineLvl w:val="1"/>
        <w:rPr>
          <w:rFonts w:ascii="仿宋" w:hAnsi="仿宋" w:eastAsia="仿宋" w:cs="仿宋"/>
          <w:b/>
          <w:bCs/>
          <w:color w:val="auto"/>
          <w:sz w:val="28"/>
          <w:szCs w:val="24"/>
          <w:highlight w:val="none"/>
          <w:lang w:val="zh-CN"/>
        </w:rPr>
      </w:pPr>
      <w:r>
        <w:rPr>
          <w:rFonts w:hint="eastAsia" w:ascii="仿宋" w:hAnsi="仿宋" w:eastAsia="仿宋" w:cs="仿宋"/>
          <w:b/>
          <w:bCs/>
          <w:color w:val="auto"/>
          <w:sz w:val="28"/>
          <w:szCs w:val="24"/>
          <w:highlight w:val="none"/>
        </w:rPr>
        <w:t>一、</w:t>
      </w:r>
      <w:r>
        <w:rPr>
          <w:rFonts w:hint="eastAsia" w:ascii="仿宋" w:hAnsi="仿宋" w:eastAsia="仿宋" w:cs="仿宋"/>
          <w:b/>
          <w:bCs/>
          <w:color w:val="auto"/>
          <w:sz w:val="28"/>
          <w:szCs w:val="24"/>
          <w:highlight w:val="none"/>
          <w:lang w:val="zh-CN"/>
        </w:rPr>
        <w:t>项目概述</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本项目共计1个采购包，拟确定成交供应商4名。</w:t>
      </w:r>
    </w:p>
    <w:p>
      <w:pPr>
        <w:autoSpaceDE w:val="0"/>
        <w:autoSpaceDN w:val="0"/>
        <w:snapToGrid w:val="0"/>
        <w:spacing w:line="360" w:lineRule="auto"/>
        <w:ind w:firstLine="551" w:firstLineChars="196"/>
        <w:outlineLvl w:val="1"/>
        <w:rPr>
          <w:rFonts w:ascii="仿宋" w:hAnsi="仿宋" w:eastAsia="仿宋" w:cs="仿宋"/>
          <w:b/>
          <w:bCs/>
          <w:color w:val="auto"/>
          <w:sz w:val="28"/>
          <w:szCs w:val="24"/>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技术服务要</w:t>
      </w:r>
      <w:r>
        <w:rPr>
          <w:rFonts w:hint="eastAsia" w:ascii="仿宋" w:hAnsi="仿宋" w:eastAsia="仿宋" w:cs="仿宋"/>
          <w:b/>
          <w:bCs/>
          <w:color w:val="auto"/>
          <w:sz w:val="28"/>
          <w:szCs w:val="24"/>
          <w:highlight w:val="none"/>
        </w:rPr>
        <w:t>求</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采购代理机构专职人员应熟练掌握政府采购和招标投标等法律法规、国家及行业发布的规章制度；掌握项目管理、工程管理、合同管理等方面专业知识；具备策划招标采购方案、编制项目实施计划、编制采购文件、组织项目实施、处理询问、质疑及投诉的能力；熟练使用财政部政府采购交易平台。</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（二）代理机构应遵守依法执业、诚信履约、严格保密、利益回避和有序竞争原则。采购代理人员应诚信守法、客观公正，恪守职业道德。具体要求如下：</w:t>
      </w:r>
    </w:p>
    <w:p>
      <w:pPr>
        <w:adjustRightInd w:val="0"/>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1、建立健全保密工作机制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代理机构应履行保密义务，保守在采购代理服务过程中知悉的国家秘密、商业秘密、技术秘密、项目保密信息等。</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除按要求进行文件归档外，任何人未经允许不得将采购项目相关纸质或电子文件带出评审现场或办公场所，不得向非项目相关人员泄露应该保密的所有采购信息，包括但不限于已购买文件的申请人信息、评审专家信息、评审信息及评审现场情况、供应商投标（应答）文件内容等。</w:t>
      </w:r>
    </w:p>
    <w:p>
      <w:pPr>
        <w:adjustRightInd w:val="0"/>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2、严格遵守廉洁从业规定</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代理机构应建立健全诚信自律和廉洁从业监督管理机制。代理机构不得为所代理的采购项目的潜在供应商或供应商提供咨询，不得参与所代理的采购项目投标（应答）或者代理投标（应答）。</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代理机构从业人员不得私下接触投标人（应答人）或其他利益相关人，不得为投标人（应答人）或其他利益相关人私下提供有关采购项目的业务咨询。代理机构从业人员不得收受投标人（应答人）或其他利益相关人的礼品、礼金、消费卡和有价证券或者其他好处。不得参加投标人（应答人）或其他利益相关人举办的宴请、旅游、健身等消费娱乐活动。不得向投标人（应答人）或其他利益相关人借用钱款、住房、车辆。不得通过投标人（应答人）或其他利益相关人报销应由本人承担的费用。</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（三）代理范围</w:t>
      </w:r>
    </w:p>
    <w:p>
      <w:pPr>
        <w:numPr>
          <w:ilvl w:val="0"/>
          <w:numId w:val="3"/>
        </w:num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项目需求调查。</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2、需求审查。</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3、需求论证。</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4、编制采购文件。</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5、在规定的媒体网站发布各类信息。</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6、组织必要的现场踏勘和澄清，并发布澄清（变更）文件。</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7、接受潜在供应商报名（包括接受响应文件及代收、代退投标保证金）。</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8、依照法律法规的规定与采购人协商、组建评审委员会（抽选专家）及确定评标办法；</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9、组织开标、评标。</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10、编制《评审报告》并提供给采购人确认。</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11、发布结果公示或公告，发放中标（成交）通知书。</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12、必要时，协助采购人与中标人洽谈合同签订事宜。</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13、中标（成交）通知书发出后7个工作日内将归档资料和相关文件及时移交招标人；包括但不限于以下文件：</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1）项目过程资料汇编材料1套。</w:t>
      </w:r>
    </w:p>
    <w:p>
      <w:pPr>
        <w:tabs>
          <w:tab w:val="left" w:pos="84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2）所有投标人（供应商）投标（响应）文件正本1份。</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14、处理涉及项目的质疑、投诉等。</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15、配合采购人对采购项目的检查或调取、补漏相关资料。</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16、办理与采购工作有关的其他事宜。</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bookmarkStart w:id="32" w:name="bookmark192"/>
      <w:r>
        <w:rPr>
          <w:rFonts w:hint="eastAsia" w:ascii="仿宋" w:hAnsi="仿宋" w:eastAsia="仿宋" w:cs="仿宋"/>
          <w:color w:val="auto"/>
          <w:sz w:val="24"/>
          <w:highlight w:val="none"/>
        </w:rPr>
        <w:t>备注：需求调查、需求审查、需求论证的相关要求</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（四）需求调查要求</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咨询：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3个，并应当具有代表性。</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2.调查内容包括：</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（1）项目相关产业发展和市场供给情况；</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（2）同类采购项目历史成交信息（至少三个）；</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（3）运行维护、升级更新、备品备件、耗材等后续采购的情况；</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（4）技术（服务/工程）要求（须清楚明了、表述规范、含义准确、客观和量化）；</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商务要求：①履行时间（期限）；②履行地点；③包装和运输；④交付（实施）的时间（期限）和地点（范围）；⑤付款条件（进度和方式）及资金支付方式；⑥验收、交付标准和方法；⑦售后服务及后续采购问题；⑧质量保修范围和保修期；⑨保险；⑩责任与解决争议的方法。（须清楚明了、表述规范、含义准确、客观和量化）</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3.代拟采购方案，对名称、功能、服务要求、技术指标等进行实质性检查及完善。</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（五）协助采购人完成需求审查</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采购人建立审查工作机制，在采购活动开始前，针对采购需求管理中的重点风险事项，对采购需求和采购实施计划进行审查，审查分为一般性审查和重点审查。</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审查工作机制成员应当包括本部门、本单位的采购、财务、业务、监督等内部机构。采购人可以根据本单位实际情况，建立相关专家和第三方机构参与审查的工作机制。</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1.一般性审查：审查内容包括，采购需求是否符合预算、资产、财务等管理制度规定； 对采购方式、评审规则、合同类型、定价方式的选择是否说明适用理由；属于按规定需要报相关监管部门批准、核准的事项，是否作出相关安排；采购实施计划是否完整。</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2.重点审查：</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（1）非歧视性审查。主要审查是否指向特定供应商或者特定产品，包括资格条件设置是否合理，要求供应商提供超过 2 个同类业务合同的，是否具有合理性；技术要求是否指向特定的专利、商标、品牌、技术路线等；评审因素设置是否具有倾向性，将有关履约能力作为评审因素是否适当。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（3）采购政策审查。主要审查进口产品的采购是否必要，是否落实支持创新、绿色发展、中小企业发展等政府采购政策要求。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 </w:t>
      </w:r>
    </w:p>
    <w:p>
      <w:pPr>
        <w:widowControl/>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（5）采购人或者主管预算单位认为应当审查的其他内容。</w:t>
      </w:r>
    </w:p>
    <w:p>
      <w:pPr>
        <w:tabs>
          <w:tab w:val="left" w:pos="180"/>
          <w:tab w:val="left" w:pos="1620"/>
        </w:tabs>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（六）需求论证</w:t>
      </w:r>
    </w:p>
    <w:p>
      <w:pPr>
        <w:tabs>
          <w:tab w:val="left" w:pos="180"/>
          <w:tab w:val="left" w:pos="1620"/>
        </w:tabs>
        <w:adjustRightInd w:val="0"/>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对需求审查通过的采购需求进行需求论证。根据项目特点，结合预算编制、相关可行性论证和需求调研情况对采购需求进行论证。包括：采购需求中的各项技术标准是否符合国家强制规定；采购文件设定的评审因素是否与采购需求对应，采购需求相关指标有区间规定的，评审因素是否量化到了相应区间；供应商资格条件是否符合《政府采购法》有关规定等。</w:t>
      </w:r>
      <w:bookmarkEnd w:id="32"/>
    </w:p>
    <w:p>
      <w:pPr>
        <w:spacing w:after="156" w:afterLines="5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（七）服务要求</w:t>
      </w:r>
    </w:p>
    <w:tbl>
      <w:tblPr>
        <w:tblStyle w:val="18"/>
        <w:tblW w:w="925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47"/>
        <w:gridCol w:w="1693"/>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blHeader/>
        </w:trPr>
        <w:tc>
          <w:tcPr>
            <w:tcW w:w="747" w:type="dxa"/>
            <w:shd w:val="clear" w:color="auto" w:fill="FFFFFF"/>
            <w:vAlign w:val="center"/>
          </w:tcPr>
          <w:p>
            <w:pPr>
              <w:pStyle w:val="32"/>
              <w:spacing w:line="360" w:lineRule="auto"/>
              <w:ind w:firstLine="0" w:firstLineChars="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693" w:type="dxa"/>
            <w:shd w:val="clear" w:color="auto" w:fill="FFFFFF"/>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6819" w:type="dxa"/>
            <w:shd w:val="clear" w:color="auto" w:fill="FFFFFF"/>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3"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对政策的掌握</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（1）代理机构应熟悉国家最新的法律法规及相关政策、做法。</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（2）进行需求审查时应根据国家法律法规，在采购需求初稿时必须对照法律法规及负面清单的内容做出相应的批注。如无相应的批注，采购人有权取消委托任务，如类似情况达2次以上，采购人有权终止合同。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工作质量</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代理机构应建立完善的政府采购内部监督管理制度，保持高度的工作独立性，保证采购工作各环节做到合法、合规、公正、专业，不受外界的任何干扰与干预；对于政府采购项目，应严格执行国家政府采购法等相关法律法规及相关政府采购政策组织开展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747" w:type="dxa"/>
            <w:shd w:val="clear" w:color="auto" w:fill="FFFFFF"/>
            <w:vAlign w:val="center"/>
          </w:tcPr>
          <w:p>
            <w:pPr>
              <w:pStyle w:val="32"/>
              <w:spacing w:line="360" w:lineRule="auto"/>
              <w:ind w:right="170" w:rightChars="81"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拟投入服务人员</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（1）项目负责人职责：负责团队内部管理，统筹安排项目，重大项目须全程跟进等。</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（2）项目执行负责人职责：包括但不限于采购文件编制、组织开标和评标活动、质疑的处理等。</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代理服务期间，未经允许不可随意更换团队主要成员。如需调整须得到采购人许可。新接手投入项目的人员也须满足专业、经验要求，否则采购人有权重新考核评价；未经允许随意更换团队主要成员，采购人有权暂停其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747" w:type="dxa"/>
            <w:shd w:val="clear" w:color="auto" w:fill="FFFFFF"/>
            <w:vAlign w:val="center"/>
          </w:tcPr>
          <w:p>
            <w:pPr>
              <w:pStyle w:val="32"/>
              <w:spacing w:line="360" w:lineRule="auto"/>
              <w:ind w:right="170" w:rightChars="81"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工作时限</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（1）承接委托阶段：除需回避事项外，需在接到项目委托任务后2个工作日内与委托人联系并办理承接委托事宜（非受托人原因除外）。受托人应指定专人负责与采购人的对接及协调工作。</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（2）采购文件编制阶段：代理机构应在3个工作日内拟定完毕采购文件传回采购人（重大项目除外），经相关部门审查确认后，代理机构应在1个工作日内对外发布采购公告。</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（3）答疑澄清阶段：代理机构在收到质疑后1个工作日内以书面形式向采购人反馈并在规定时间内组织答疑、发布澄清。</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（4）评审结果公告（公示）阶段：代理机构应在采购人确认采购结果后2个工作日内发布中标（成交）公告，同时向采购人发出采购结果通知。</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（5）档案移交阶段：代理机构应在发出采购结果通知后7个工作日内按采购人要求整理并移交相关资料。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90"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评审专家的抽取</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（1）对于政府采购项目，代理机构必须严格按照政府采购的相关法律法规抽取评审专家，从省级以上人民政府财政部门设立的评审专家库中随机抽取。非政府采购项目，代理机构参照执行。</w:t>
            </w:r>
            <w:r>
              <w:rPr>
                <w:rFonts w:hint="eastAsia" w:ascii="仿宋" w:hAnsi="仿宋" w:eastAsia="仿宋" w:cs="仿宋"/>
                <w:color w:val="auto"/>
                <w:sz w:val="24"/>
                <w:szCs w:val="24"/>
                <w:highlight w:val="none"/>
                <w:lang w:eastAsia="zh-Hans"/>
              </w:rPr>
              <w:t>随机抽取的专家的资料应当归入采购档案。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90"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评标室的确定</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（1）代理机构不得以项目较多等理由无法按时提供评标室，推迟开标时间。确有客观原因，必须提前与采购人沟通，达成一致解决方案。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开评标现场</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（1）按时到达开标现场，做好开标准备工作；</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（2）按要求开启音视频监控设施进行现场监控；</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（3）开评标时，全程须有工作人员在现场组织工作；</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（4）评标完成后，整理评标室并关闭相关设施。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97"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8</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档案归档要求</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（1）按要求编制档案目录和移交清单；</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（2）移交的档案必须完整，移交前采购人不负责保管。如移交档案不完整，须在1个工作日内补全并再次提交。</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（3）采购活动有关文件报送备案及存档，包括但不限于以下文件：</w:t>
            </w:r>
          </w:p>
          <w:p>
            <w:pPr>
              <w:numPr>
                <w:ilvl w:val="0"/>
                <w:numId w:val="4"/>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项目过程资料汇编材料1套；</w:t>
            </w:r>
          </w:p>
          <w:p>
            <w:pPr>
              <w:numPr>
                <w:ilvl w:val="0"/>
                <w:numId w:val="4"/>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所有投标人（供应商）投标（响应）文件正本1份。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63"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9</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重大事项的报告</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（1）代理机构在服务期间发生重大涉诉案件、重大恶性事件或群体性事件，或者经营状况发生严重恶化的，以及围标、串标等极端情况，应当及时向采购人报告。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721"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10</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特殊情形</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个别项目，在政府采购代理服务过程中，由于招标采购失败或不可抗力等原因造成委托项目取消或暂停的，代理机构应接受无条件终止服务合同并积极配合采购人做好善后工作，采购人不支付额外的费用及任何形式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23" w:hRule="atLeast"/>
        </w:trPr>
        <w:tc>
          <w:tcPr>
            <w:tcW w:w="747" w:type="dxa"/>
            <w:shd w:val="clear" w:color="auto" w:fill="FFFFFF"/>
            <w:vAlign w:val="center"/>
          </w:tcPr>
          <w:p>
            <w:pPr>
              <w:pStyle w:val="32"/>
              <w:spacing w:line="36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93" w:type="dxa"/>
            <w:shd w:val="clear" w:color="auto" w:fill="FFFFFF"/>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w:t>
            </w:r>
          </w:p>
        </w:tc>
        <w:tc>
          <w:tcPr>
            <w:tcW w:w="6819" w:type="dxa"/>
            <w:shd w:val="clear" w:color="auto" w:fill="FFFFFF"/>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对</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zh-CN"/>
              </w:rPr>
              <w:t>文件</w:t>
            </w:r>
            <w:r>
              <w:rPr>
                <w:rFonts w:hint="eastAsia" w:ascii="仿宋" w:hAnsi="仿宋" w:eastAsia="仿宋" w:cs="仿宋"/>
                <w:color w:val="auto"/>
                <w:sz w:val="24"/>
                <w:szCs w:val="24"/>
                <w:highlight w:val="none"/>
              </w:rPr>
              <w:t>(除技术部分内容)</w:t>
            </w:r>
            <w:r>
              <w:rPr>
                <w:rFonts w:hint="eastAsia" w:ascii="仿宋" w:hAnsi="仿宋" w:eastAsia="仿宋" w:cs="仿宋"/>
                <w:color w:val="auto"/>
                <w:sz w:val="24"/>
                <w:szCs w:val="24"/>
                <w:highlight w:val="none"/>
                <w:lang w:val="zh-CN"/>
              </w:rPr>
              <w:t>的质疑、对</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zh-CN"/>
              </w:rPr>
              <w:t>过程的质疑、对</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zh-CN"/>
              </w:rPr>
              <w:t>结果的质疑由</w:t>
            </w:r>
            <w:r>
              <w:rPr>
                <w:rFonts w:hint="eastAsia" w:ascii="仿宋" w:hAnsi="仿宋" w:eastAsia="仿宋" w:cs="仿宋"/>
                <w:color w:val="auto"/>
                <w:sz w:val="24"/>
                <w:szCs w:val="24"/>
                <w:highlight w:val="none"/>
              </w:rPr>
              <w:t>代理机构负责答复，技术部分内容</w:t>
            </w:r>
            <w:r>
              <w:rPr>
                <w:rFonts w:hint="eastAsia" w:ascii="仿宋" w:hAnsi="仿宋" w:eastAsia="仿宋" w:cs="仿宋"/>
                <w:color w:val="auto"/>
                <w:sz w:val="24"/>
                <w:szCs w:val="24"/>
                <w:highlight w:val="none"/>
                <w:lang w:val="zh-CN"/>
              </w:rPr>
              <w:t>的质疑</w:t>
            </w:r>
            <w:r>
              <w:rPr>
                <w:rFonts w:hint="eastAsia" w:ascii="仿宋" w:hAnsi="仿宋" w:eastAsia="仿宋" w:cs="仿宋"/>
                <w:color w:val="auto"/>
                <w:sz w:val="24"/>
                <w:szCs w:val="24"/>
                <w:highlight w:val="none"/>
              </w:rPr>
              <w:t>代理机构配合采购人答复</w:t>
            </w:r>
          </w:p>
        </w:tc>
      </w:tr>
    </w:tbl>
    <w:p>
      <w:pPr>
        <w:pStyle w:val="25"/>
        <w:jc w:val="both"/>
        <w:rPr>
          <w:rFonts w:ascii="仿宋" w:hAnsi="仿宋" w:eastAsia="仿宋" w:cs="仿宋"/>
          <w:color w:val="auto"/>
          <w:highlight w:val="none"/>
        </w:rPr>
      </w:pPr>
    </w:p>
    <w:p>
      <w:pPr>
        <w:autoSpaceDE w:val="0"/>
        <w:autoSpaceDN w:val="0"/>
        <w:spacing w:line="520" w:lineRule="exact"/>
        <w:ind w:firstLine="551" w:firstLineChars="196"/>
        <w:outlineLvl w:val="1"/>
        <w:rPr>
          <w:rFonts w:ascii="仿宋" w:hAnsi="仿宋" w:eastAsia="仿宋" w:cs="仿宋"/>
          <w:b/>
          <w:bCs/>
          <w:color w:val="auto"/>
          <w:sz w:val="28"/>
          <w:szCs w:val="24"/>
          <w:highlight w:val="none"/>
          <w:lang w:val="zh-CN"/>
        </w:rPr>
      </w:pPr>
      <w:r>
        <w:rPr>
          <w:rFonts w:hint="eastAsia" w:ascii="仿宋" w:hAnsi="仿宋" w:eastAsia="仿宋" w:cs="仿宋"/>
          <w:b/>
          <w:bCs/>
          <w:color w:val="auto"/>
          <w:sz w:val="28"/>
          <w:szCs w:val="24"/>
          <w:highlight w:val="none"/>
        </w:rPr>
        <w:t>★三</w:t>
      </w:r>
      <w:r>
        <w:rPr>
          <w:rFonts w:hint="eastAsia" w:ascii="仿宋" w:hAnsi="仿宋" w:eastAsia="仿宋" w:cs="仿宋"/>
          <w:b/>
          <w:bCs/>
          <w:color w:val="auto"/>
          <w:sz w:val="28"/>
          <w:szCs w:val="24"/>
          <w:highlight w:val="none"/>
          <w:lang w:val="zh-CN"/>
        </w:rPr>
        <w:t>、商务要求</w:t>
      </w:r>
    </w:p>
    <w:tbl>
      <w:tblPr>
        <w:tblStyle w:val="18"/>
        <w:tblW w:w="922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0"/>
        <w:gridCol w:w="1881"/>
        <w:gridCol w:w="6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0" w:type="dxa"/>
            <w:vAlign w:val="center"/>
          </w:tcPr>
          <w:p>
            <w:pPr>
              <w:pStyle w:val="27"/>
              <w:spacing w:line="300" w:lineRule="auto"/>
              <w:jc w:val="center"/>
              <w:rPr>
                <w:rFonts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序号</w:t>
            </w:r>
          </w:p>
        </w:tc>
        <w:tc>
          <w:tcPr>
            <w:tcW w:w="1881" w:type="dxa"/>
            <w:vAlign w:val="center"/>
          </w:tcPr>
          <w:p>
            <w:pPr>
              <w:pStyle w:val="27"/>
              <w:spacing w:line="300" w:lineRule="auto"/>
              <w:jc w:val="center"/>
              <w:rPr>
                <w:rFonts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内容</w:t>
            </w:r>
          </w:p>
        </w:tc>
        <w:tc>
          <w:tcPr>
            <w:tcW w:w="6764" w:type="dxa"/>
            <w:vAlign w:val="center"/>
          </w:tcPr>
          <w:p>
            <w:pPr>
              <w:pStyle w:val="27"/>
              <w:spacing w:line="300" w:lineRule="auto"/>
              <w:ind w:left="210" w:leftChars="100"/>
              <w:jc w:val="center"/>
              <w:rPr>
                <w:rFonts w:ascii="仿宋" w:hAnsi="仿宋" w:eastAsia="仿宋" w:cs="仿宋"/>
                <w:b/>
                <w:color w:val="auto"/>
                <w:sz w:val="22"/>
                <w:szCs w:val="22"/>
                <w:highlight w:val="none"/>
                <w:lang w:val="zh-CN"/>
              </w:rPr>
            </w:pPr>
            <w:r>
              <w:rPr>
                <w:rFonts w:hint="eastAsia" w:ascii="仿宋" w:hAnsi="仿宋" w:eastAsia="仿宋" w:cs="仿宋"/>
                <w:b/>
                <w:color w:val="auto"/>
                <w:sz w:val="22"/>
                <w:szCs w:val="22"/>
                <w:highlight w:val="none"/>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59" w:hRule="atLeast"/>
          <w:jc w:val="center"/>
        </w:trPr>
        <w:tc>
          <w:tcPr>
            <w:tcW w:w="580"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w:t>
            </w:r>
          </w:p>
        </w:tc>
        <w:tc>
          <w:tcPr>
            <w:tcW w:w="1881" w:type="dxa"/>
            <w:vAlign w:val="center"/>
          </w:tcPr>
          <w:p>
            <w:pPr>
              <w:pStyle w:val="27"/>
              <w:spacing w:line="30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服务期</w:t>
            </w:r>
          </w:p>
        </w:tc>
        <w:tc>
          <w:tcPr>
            <w:tcW w:w="6764" w:type="dxa"/>
            <w:vAlign w:val="center"/>
          </w:tcPr>
          <w:p>
            <w:pPr>
              <w:pStyle w:val="27"/>
              <w:spacing w:line="300" w:lineRule="auto"/>
              <w:ind w:left="210" w:leftChars="1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采购合同签订之日起</w:t>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580"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2</w:t>
            </w:r>
          </w:p>
        </w:tc>
        <w:tc>
          <w:tcPr>
            <w:tcW w:w="1881"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服务地点</w:t>
            </w:r>
          </w:p>
        </w:tc>
        <w:tc>
          <w:tcPr>
            <w:tcW w:w="6764" w:type="dxa"/>
            <w:vAlign w:val="center"/>
          </w:tcPr>
          <w:p>
            <w:pPr>
              <w:pStyle w:val="27"/>
              <w:spacing w:line="300" w:lineRule="auto"/>
              <w:ind w:left="210" w:leftChars="1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85" w:hRule="atLeast"/>
          <w:jc w:val="center"/>
        </w:trPr>
        <w:tc>
          <w:tcPr>
            <w:tcW w:w="580" w:type="dxa"/>
            <w:vAlign w:val="center"/>
          </w:tcPr>
          <w:p>
            <w:pPr>
              <w:pStyle w:val="27"/>
              <w:spacing w:line="30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881"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报价</w:t>
            </w:r>
          </w:p>
        </w:tc>
        <w:tc>
          <w:tcPr>
            <w:tcW w:w="6764" w:type="dxa"/>
            <w:vAlign w:val="center"/>
          </w:tcPr>
          <w:p>
            <w:pPr>
              <w:pStyle w:val="27"/>
              <w:spacing w:line="300" w:lineRule="auto"/>
              <w:ind w:left="210" w:leftChars="1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60" w:hRule="atLeast"/>
          <w:jc w:val="center"/>
        </w:trPr>
        <w:tc>
          <w:tcPr>
            <w:tcW w:w="580" w:type="dxa"/>
            <w:vAlign w:val="center"/>
          </w:tcPr>
          <w:p>
            <w:pPr>
              <w:pStyle w:val="27"/>
              <w:spacing w:line="30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881"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合同价款支付</w:t>
            </w:r>
          </w:p>
        </w:tc>
        <w:tc>
          <w:tcPr>
            <w:tcW w:w="6764" w:type="dxa"/>
            <w:vAlign w:val="center"/>
          </w:tcPr>
          <w:p>
            <w:pPr>
              <w:pStyle w:val="27"/>
              <w:spacing w:line="300" w:lineRule="auto"/>
              <w:ind w:left="210" w:leftChars="100"/>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采购合同签订后，</w:t>
            </w:r>
            <w:r>
              <w:rPr>
                <w:rFonts w:hint="eastAsia" w:ascii="仿宋" w:hAnsi="仿宋" w:eastAsia="仿宋" w:cs="仿宋"/>
                <w:color w:val="auto"/>
                <w:sz w:val="22"/>
                <w:szCs w:val="22"/>
                <w:highlight w:val="none"/>
              </w:rPr>
              <w:t>根据签订的单个项目代理合同，由中标供应商支付代理服务费</w:t>
            </w:r>
            <w:r>
              <w:rPr>
                <w:rFonts w:hint="eastAsia" w:ascii="仿宋" w:hAnsi="仿宋" w:eastAsia="仿宋" w:cs="仿宋"/>
                <w:color w:val="auto"/>
                <w:sz w:val="22"/>
                <w:szCs w:val="22"/>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80" w:type="dxa"/>
            <w:vAlign w:val="center"/>
          </w:tcPr>
          <w:p>
            <w:pPr>
              <w:pStyle w:val="27"/>
              <w:spacing w:line="300" w:lineRule="auto"/>
              <w:jc w:val="center"/>
              <w:rPr>
                <w:rFonts w:ascii="仿宋" w:hAnsi="仿宋" w:eastAsia="仿宋" w:cs="仿宋"/>
                <w:color w:val="auto"/>
                <w:sz w:val="22"/>
                <w:szCs w:val="22"/>
                <w:highlight w:val="none"/>
              </w:rPr>
            </w:pPr>
            <w:bookmarkStart w:id="33" w:name="_Toc28829"/>
            <w:bookmarkStart w:id="34" w:name="_Toc32743"/>
            <w:r>
              <w:rPr>
                <w:rFonts w:hint="eastAsia" w:ascii="仿宋" w:hAnsi="仿宋" w:eastAsia="仿宋" w:cs="仿宋"/>
                <w:color w:val="auto"/>
                <w:sz w:val="22"/>
                <w:szCs w:val="22"/>
                <w:highlight w:val="none"/>
              </w:rPr>
              <w:t>5</w:t>
            </w:r>
          </w:p>
        </w:tc>
        <w:tc>
          <w:tcPr>
            <w:tcW w:w="1881" w:type="dxa"/>
            <w:vAlign w:val="center"/>
          </w:tcPr>
          <w:p>
            <w:pPr>
              <w:pStyle w:val="27"/>
              <w:spacing w:line="300" w:lineRule="auto"/>
              <w:jc w:val="center"/>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履约验收</w:t>
            </w:r>
          </w:p>
        </w:tc>
        <w:tc>
          <w:tcPr>
            <w:tcW w:w="6764" w:type="dxa"/>
            <w:vAlign w:val="center"/>
          </w:tcPr>
          <w:p>
            <w:pPr>
              <w:pStyle w:val="27"/>
              <w:spacing w:line="300" w:lineRule="auto"/>
              <w:ind w:left="210" w:leftChars="100"/>
              <w:jc w:val="both"/>
              <w:rPr>
                <w:rFonts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参照《财政部关于进一步加强政府采购需求和履约验收管理的指导意见》（财库〔2016〕205号）、《政府采购需求管理办法》（财库〔2021〕22号）的要求进行验收</w:t>
            </w:r>
          </w:p>
        </w:tc>
      </w:tr>
      <w:bookmarkEnd w:id="33"/>
      <w:bookmarkEnd w:id="34"/>
    </w:tbl>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3"/>
        <w:spacing w:line="400" w:lineRule="exact"/>
        <w:jc w:val="center"/>
        <w:rPr>
          <w:rFonts w:ascii="仿宋" w:hAnsi="仿宋" w:eastAsia="仿宋" w:cs="仿宋"/>
          <w:color w:val="auto"/>
          <w:sz w:val="36"/>
          <w:szCs w:val="36"/>
          <w:highlight w:val="none"/>
        </w:rPr>
      </w:pPr>
      <w:bookmarkStart w:id="35" w:name="_Toc21989"/>
      <w:bookmarkStart w:id="36" w:name="_Toc4587"/>
      <w:r>
        <w:rPr>
          <w:rFonts w:hint="eastAsia" w:ascii="仿宋" w:hAnsi="仿宋" w:eastAsia="仿宋" w:cs="仿宋"/>
          <w:color w:val="auto"/>
          <w:sz w:val="36"/>
          <w:szCs w:val="36"/>
          <w:highlight w:val="none"/>
        </w:rPr>
        <w:t>第五章 比选评审办法</w:t>
      </w:r>
      <w:bookmarkEnd w:id="35"/>
      <w:bookmarkEnd w:id="36"/>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1.比选人将根据比选项目特点组建比选评审委员会，采取综合评分法。</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3.比选评审委员会按照比选文件规定的比选评审方法和标准进行比选评审，并独立履行下列职责：</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（1）审查比选申请文件是否符合比选文件要求，并作出评价；</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（2）要求比选申请人对比选申请文件有关事项作出解释或者澄清；</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（3）推荐成交候选人名单；</w:t>
      </w:r>
      <w:bookmarkStart w:id="37" w:name="_Toc217446098"/>
    </w:p>
    <w:p>
      <w:pPr>
        <w:spacing w:line="360" w:lineRule="auto"/>
        <w:ind w:firstLine="562" w:firstLineChars="200"/>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二、比选评审</w:t>
      </w:r>
      <w:bookmarkEnd w:id="37"/>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根据比选文件的规定，对比选申请文件中的资格证明等进行审查，以确定比选申请人是否具备比选资格。</w:t>
      </w:r>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2.符合性检查。</w:t>
      </w:r>
      <w:r>
        <w:rPr>
          <w:rFonts w:hint="eastAsia" w:ascii="仿宋" w:hAnsi="仿宋" w:eastAsia="仿宋" w:cs="仿宋"/>
          <w:color w:val="auto"/>
          <w:sz w:val="24"/>
          <w:szCs w:val="24"/>
          <w:highlight w:val="none"/>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3.澄清有关问题</w:t>
      </w:r>
      <w:r>
        <w:rPr>
          <w:rFonts w:hint="eastAsia" w:ascii="仿宋" w:hAnsi="仿宋" w:eastAsia="仿宋" w:cs="仿宋"/>
          <w:color w:val="auto"/>
          <w:sz w:val="24"/>
          <w:szCs w:val="24"/>
          <w:highlight w:val="none"/>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rPr>
          <w:rFonts w:ascii="仿宋" w:hAnsi="仿宋" w:eastAsia="仿宋" w:cs="仿宋"/>
          <w:color w:val="auto"/>
          <w:highlight w:val="none"/>
        </w:rPr>
      </w:pPr>
      <w:r>
        <w:rPr>
          <w:rFonts w:hint="eastAsia" w:ascii="仿宋" w:hAnsi="仿宋" w:eastAsia="仿宋" w:cs="仿宋"/>
          <w:b/>
          <w:bCs/>
          <w:color w:val="auto"/>
          <w:sz w:val="24"/>
          <w:szCs w:val="24"/>
          <w:highlight w:val="none"/>
        </w:rPr>
        <w:t>4.比较与评价</w:t>
      </w:r>
      <w:r>
        <w:rPr>
          <w:rFonts w:hint="eastAsia" w:ascii="仿宋" w:hAnsi="仿宋" w:eastAsia="仿宋" w:cs="仿宋"/>
          <w:color w:val="auto"/>
          <w:sz w:val="24"/>
          <w:szCs w:val="24"/>
          <w:highlight w:val="none"/>
        </w:rPr>
        <w:t>。按比选文件中规定的比选评审方法和标准，对资格性检查和符合性检查合格的比选申请文件按照以下综合评分表进行综合比较与评价。</w:t>
      </w:r>
    </w:p>
    <w:p>
      <w:pPr>
        <w:spacing w:line="360" w:lineRule="auto"/>
        <w:ind w:firstLine="361" w:firstLineChars="150"/>
        <w:rPr>
          <w:rFonts w:ascii="仿宋" w:hAnsi="仿宋" w:eastAsia="仿宋" w:cs="仿宋"/>
          <w:b/>
          <w:bCs/>
          <w:color w:val="auto"/>
          <w:sz w:val="24"/>
          <w:highlight w:val="none"/>
        </w:rPr>
      </w:pPr>
    </w:p>
    <w:tbl>
      <w:tblPr>
        <w:tblStyle w:val="18"/>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55"/>
        <w:gridCol w:w="884"/>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评分因素及权重</w:t>
            </w:r>
          </w:p>
        </w:tc>
        <w:tc>
          <w:tcPr>
            <w:tcW w:w="8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58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报价</w:t>
            </w:r>
          </w:p>
        </w:tc>
        <w:tc>
          <w:tcPr>
            <w:tcW w:w="8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ascii="仿宋" w:hAnsi="仿宋" w:eastAsia="仿宋" w:cs="仿宋"/>
                <w:color w:val="auto"/>
                <w:sz w:val="22"/>
                <w:highlight w:val="none"/>
              </w:rPr>
              <w:t>3</w:t>
            </w:r>
            <w:r>
              <w:rPr>
                <w:rFonts w:hint="eastAsia" w:ascii="仿宋" w:hAnsi="仿宋" w:eastAsia="仿宋" w:cs="仿宋"/>
                <w:color w:val="auto"/>
                <w:sz w:val="22"/>
                <w:highlight w:val="none"/>
              </w:rPr>
              <w:t>0分</w:t>
            </w:r>
          </w:p>
        </w:tc>
        <w:tc>
          <w:tcPr>
            <w:tcW w:w="5827" w:type="dxa"/>
            <w:tcBorders>
              <w:top w:val="single" w:color="auto" w:sz="4" w:space="0"/>
              <w:left w:val="single" w:color="auto" w:sz="4" w:space="0"/>
              <w:bottom w:val="single" w:color="auto" w:sz="4" w:space="0"/>
              <w:right w:val="single" w:color="auto" w:sz="4" w:space="0"/>
            </w:tcBorders>
            <w:vAlign w:val="center"/>
          </w:tcPr>
          <w:p>
            <w:pPr>
              <w:pStyle w:val="2"/>
              <w:spacing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1、以单个代理项目的中标（成交）金额作为收费依据，参照国家计委“计价格[2002]1980号”和国家发改委“发改办价格[2003]857号”“发改价格[2011] 534号”“发改价格[2015]299号”标准收费基础上，每下浮1%得1分，满分2</w:t>
            </w:r>
            <w:r>
              <w:rPr>
                <w:rFonts w:ascii="仿宋" w:hAnsi="仿宋" w:eastAsia="仿宋" w:cs="仿宋"/>
                <w:color w:val="auto"/>
                <w:sz w:val="22"/>
                <w:highlight w:val="none"/>
              </w:rPr>
              <w:t>0分。</w:t>
            </w:r>
            <w:r>
              <w:rPr>
                <w:rFonts w:hint="eastAsia" w:ascii="仿宋" w:hAnsi="仿宋" w:eastAsia="仿宋" w:cs="仿宋"/>
                <w:color w:val="auto"/>
                <w:sz w:val="22"/>
                <w:highlight w:val="none"/>
              </w:rPr>
              <w:t>中间值按比例计算（如中间值为0.5%，所得分值=0.5%÷1%*1）。</w:t>
            </w:r>
          </w:p>
          <w:p>
            <w:pPr>
              <w:rPr>
                <w:rFonts w:hint="eastAsia"/>
                <w:color w:val="auto"/>
                <w:highlight w:val="none"/>
              </w:rPr>
            </w:pPr>
            <w:r>
              <w:rPr>
                <w:rFonts w:ascii="仿宋" w:hAnsi="仿宋" w:eastAsia="仿宋" w:cs="仿宋"/>
                <w:color w:val="auto"/>
                <w:sz w:val="22"/>
                <w:highlight w:val="none"/>
              </w:rPr>
              <w:t>2、</w:t>
            </w:r>
            <w:r>
              <w:rPr>
                <w:rFonts w:hint="eastAsia" w:ascii="仿宋" w:hAnsi="仿宋" w:eastAsia="仿宋" w:cs="仿宋"/>
                <w:color w:val="auto"/>
                <w:sz w:val="22"/>
                <w:highlight w:val="none"/>
              </w:rPr>
              <w:t>以单个代理项目的中标（成交）金额作为收费依据，按照计费标准的100%计算不足6000的，以本次报价的算术平均价为评审基准价，满分</w:t>
            </w:r>
            <w:r>
              <w:rPr>
                <w:rFonts w:ascii="仿宋" w:hAnsi="仿宋" w:eastAsia="仿宋" w:cs="仿宋"/>
                <w:color w:val="auto"/>
                <w:sz w:val="22"/>
                <w:highlight w:val="none"/>
              </w:rPr>
              <w:t>10</w:t>
            </w:r>
            <w:r>
              <w:rPr>
                <w:rFonts w:hint="eastAsia" w:ascii="仿宋" w:hAnsi="仿宋" w:eastAsia="仿宋" w:cs="仿宋"/>
                <w:color w:val="auto"/>
                <w:sz w:val="22"/>
                <w:highlight w:val="none"/>
              </w:rPr>
              <w:t>分。比选申请人报价相比评审基准价，每高1%扣0.2分每低1%扣0.1分，中间值用插入法进行计算，小数点后保留两位。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2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代理业绩</w:t>
            </w:r>
          </w:p>
        </w:tc>
        <w:tc>
          <w:tcPr>
            <w:tcW w:w="8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r>
              <w:rPr>
                <w:rFonts w:hint="eastAsia" w:ascii="仿宋" w:hAnsi="仿宋" w:eastAsia="仿宋" w:cs="仿宋"/>
                <w:color w:val="auto"/>
                <w:sz w:val="22"/>
                <w:highlight w:val="none"/>
                <w:lang w:val="en-US" w:eastAsia="zh-CN"/>
              </w:rPr>
              <w:t>0</w:t>
            </w:r>
            <w:r>
              <w:rPr>
                <w:rFonts w:hint="eastAsia" w:ascii="仿宋" w:hAnsi="仿宋" w:eastAsia="仿宋" w:cs="仿宋"/>
                <w:color w:val="auto"/>
                <w:sz w:val="22"/>
                <w:highlight w:val="none"/>
              </w:rPr>
              <w:t>分</w:t>
            </w:r>
          </w:p>
        </w:tc>
        <w:tc>
          <w:tcPr>
            <w:tcW w:w="5827" w:type="dxa"/>
            <w:tcBorders>
              <w:top w:val="single" w:color="auto" w:sz="4" w:space="0"/>
              <w:left w:val="single" w:color="auto" w:sz="4" w:space="0"/>
              <w:bottom w:val="single" w:color="auto" w:sz="4" w:space="0"/>
              <w:right w:val="single" w:color="auto" w:sz="4" w:space="0"/>
            </w:tcBorders>
            <w:vAlign w:val="center"/>
          </w:tcPr>
          <w:p>
            <w:pPr>
              <w:spacing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szCs w:val="22"/>
                <w:highlight w:val="none"/>
                <w:lang w:val="en-US" w:eastAsia="zh-CN"/>
              </w:rPr>
              <w:t>提供代理服务业绩（包括但不限于：政府采购代理或工程招标代理或工程委托代建（委托内容由代建业主自行招标）等），时间自2021年1月1日至投标截止时间(以合同签订日期为准)，每有一个代理服务业绩得4分，最高得20分。</w:t>
            </w:r>
          </w:p>
          <w:p>
            <w:pPr>
              <w:spacing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提供委托合同复印件</w:t>
            </w:r>
            <w:r>
              <w:rPr>
                <w:rFonts w:hint="eastAsia" w:ascii="仿宋" w:hAnsi="仿宋" w:eastAsia="仿宋" w:cs="仿宋"/>
                <w:color w:val="auto"/>
                <w:sz w:val="22"/>
                <w:szCs w:val="22"/>
                <w:highlight w:val="none"/>
                <w:lang w:val="en-US" w:eastAsia="zh-CN"/>
              </w:rPr>
              <w:t>或挂网结果公告截图</w:t>
            </w:r>
            <w:r>
              <w:rPr>
                <w:rFonts w:hint="eastAsia" w:ascii="仿宋" w:hAnsi="仿宋" w:eastAsia="仿宋" w:cs="仿宋"/>
                <w:color w:val="auto"/>
                <w:sz w:val="22"/>
                <w:highlight w:val="none"/>
              </w:rPr>
              <w:t>佐证，提供资料不全或不能有效证明的不得分。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2"/>
              <w:spacing w:after="0"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2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开、评标营业场地设施</w:t>
            </w:r>
          </w:p>
        </w:tc>
        <w:tc>
          <w:tcPr>
            <w:tcW w:w="8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lang w:val="en-US" w:eastAsia="zh-CN"/>
              </w:rPr>
              <w:t>10</w:t>
            </w:r>
            <w:r>
              <w:rPr>
                <w:rFonts w:hint="eastAsia" w:ascii="仿宋" w:hAnsi="仿宋" w:eastAsia="仿宋" w:cs="仿宋"/>
                <w:color w:val="auto"/>
                <w:sz w:val="22"/>
                <w:highlight w:val="none"/>
              </w:rPr>
              <w:t>分</w:t>
            </w:r>
          </w:p>
        </w:tc>
        <w:tc>
          <w:tcPr>
            <w:tcW w:w="5827" w:type="dxa"/>
            <w:tcBorders>
              <w:top w:val="single" w:color="auto" w:sz="4" w:space="0"/>
              <w:left w:val="single" w:color="auto" w:sz="4" w:space="0"/>
              <w:bottom w:val="single" w:color="auto" w:sz="4" w:space="0"/>
              <w:right w:val="single" w:color="auto" w:sz="4" w:space="0"/>
            </w:tcBorders>
            <w:vAlign w:val="center"/>
          </w:tcPr>
          <w:p>
            <w:pPr>
              <w:pStyle w:val="2"/>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供应商的从业场所内（下列库室应相对集中）：具有独立开标室，1个得</w:t>
            </w:r>
            <w:r>
              <w:rPr>
                <w:rFonts w:hint="eastAsia" w:ascii="仿宋" w:hAnsi="仿宋" w:eastAsia="仿宋" w:cs="仿宋"/>
                <w:color w:val="auto"/>
                <w:sz w:val="22"/>
                <w:highlight w:val="none"/>
                <w:lang w:val="en-US" w:eastAsia="zh-CN"/>
              </w:rPr>
              <w:t>2</w:t>
            </w:r>
            <w:r>
              <w:rPr>
                <w:rFonts w:hint="eastAsia" w:ascii="仿宋" w:hAnsi="仿宋" w:eastAsia="仿宋" w:cs="仿宋"/>
                <w:color w:val="auto"/>
                <w:sz w:val="22"/>
                <w:highlight w:val="none"/>
              </w:rPr>
              <w:t>分，最多得</w:t>
            </w:r>
            <w:r>
              <w:rPr>
                <w:rFonts w:hint="eastAsia" w:ascii="仿宋" w:hAnsi="仿宋" w:eastAsia="仿宋" w:cs="仿宋"/>
                <w:color w:val="auto"/>
                <w:sz w:val="22"/>
                <w:highlight w:val="none"/>
                <w:lang w:val="en-US" w:eastAsia="zh-CN"/>
              </w:rPr>
              <w:t>4</w:t>
            </w:r>
            <w:r>
              <w:rPr>
                <w:rFonts w:hint="eastAsia" w:ascii="仿宋" w:hAnsi="仿宋" w:eastAsia="仿宋" w:cs="仿宋"/>
                <w:color w:val="auto"/>
                <w:sz w:val="22"/>
                <w:highlight w:val="none"/>
              </w:rPr>
              <w:t>分；具有独立评标室，1个得1分，最多得4分；具有独立监控室，1个得1分，最多得1分；具有档案室，1个得1分，最多得1分。（提供照片及承诺函）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5" w:type="dxa"/>
            <w:tcBorders>
              <w:top w:val="single" w:color="auto" w:sz="4" w:space="0"/>
              <w:left w:val="single" w:color="auto" w:sz="4" w:space="0"/>
              <w:bottom w:val="single" w:color="auto" w:sz="4" w:space="0"/>
              <w:right w:val="single" w:color="auto" w:sz="4" w:space="0"/>
            </w:tcBorders>
            <w:vAlign w:val="center"/>
          </w:tcPr>
          <w:p>
            <w:pPr>
              <w:pStyle w:val="2"/>
              <w:spacing w:after="0"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25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服务方案</w:t>
            </w:r>
          </w:p>
        </w:tc>
        <w:tc>
          <w:tcPr>
            <w:tcW w:w="8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 w:val="22"/>
                <w:highlight w:val="none"/>
              </w:rPr>
            </w:pPr>
            <w:r>
              <w:rPr>
                <w:rFonts w:ascii="仿宋" w:hAnsi="仿宋" w:eastAsia="仿宋" w:cs="仿宋"/>
                <w:color w:val="auto"/>
                <w:sz w:val="22"/>
                <w:highlight w:val="none"/>
              </w:rPr>
              <w:t>40</w:t>
            </w:r>
            <w:r>
              <w:rPr>
                <w:rFonts w:hint="eastAsia" w:ascii="仿宋" w:hAnsi="仿宋" w:eastAsia="仿宋" w:cs="仿宋"/>
                <w:color w:val="auto"/>
                <w:sz w:val="22"/>
                <w:highlight w:val="none"/>
              </w:rPr>
              <w:t>分</w:t>
            </w:r>
          </w:p>
        </w:tc>
        <w:tc>
          <w:tcPr>
            <w:tcW w:w="5827" w:type="dxa"/>
            <w:tcBorders>
              <w:top w:val="single" w:color="auto" w:sz="4" w:space="0"/>
              <w:left w:val="single" w:color="auto" w:sz="4" w:space="0"/>
              <w:bottom w:val="single" w:color="auto" w:sz="4" w:space="0"/>
              <w:right w:val="single" w:color="auto" w:sz="4" w:space="0"/>
            </w:tcBorders>
            <w:vAlign w:val="center"/>
          </w:tcPr>
          <w:p>
            <w:pPr>
              <w:pStyle w:val="2"/>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在满足实质性要求的前提下，供应商针对本项目制定具体方案，内容包括但不限于：</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工作流程方案；</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人员配置方案；</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服务质量保障方案；</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内部管理制度；</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应急措施；</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档案管理；</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特色服务方案；</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服务进度保障方案；</w:t>
            </w:r>
          </w:p>
          <w:p>
            <w:pPr>
              <w:pStyle w:val="2"/>
              <w:numPr>
                <w:ilvl w:val="0"/>
                <w:numId w:val="5"/>
              </w:numPr>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highlight w:val="none"/>
              </w:rPr>
              <w:t>保密制度；</w:t>
            </w:r>
          </w:p>
          <w:p>
            <w:pPr>
              <w:pStyle w:val="2"/>
              <w:numPr>
                <w:ilvl w:val="0"/>
                <w:numId w:val="5"/>
              </w:numPr>
              <w:spacing w:after="0" w:line="288" w:lineRule="auto"/>
              <w:ind w:left="210" w:leftChars="100"/>
              <w:rPr>
                <w:rFonts w:ascii="仿宋" w:hAnsi="仿宋" w:eastAsia="仿宋" w:cs="仿宋"/>
                <w:color w:val="auto"/>
                <w:sz w:val="22"/>
                <w:highlight w:val="none"/>
              </w:rPr>
            </w:pPr>
            <w:r>
              <w:rPr>
                <w:rFonts w:ascii="仿宋" w:hAnsi="仿宋" w:eastAsia="仿宋" w:cs="仿宋"/>
                <w:color w:val="auto"/>
                <w:sz w:val="22"/>
                <w:highlight w:val="none"/>
              </w:rPr>
              <w:t>采购文件的编制与审核</w:t>
            </w:r>
            <w:r>
              <w:rPr>
                <w:rFonts w:hint="eastAsia" w:ascii="仿宋" w:hAnsi="仿宋" w:eastAsia="仿宋" w:cs="仿宋"/>
                <w:color w:val="auto"/>
                <w:sz w:val="22"/>
                <w:highlight w:val="none"/>
              </w:rPr>
              <w:t>；</w:t>
            </w:r>
          </w:p>
          <w:p>
            <w:pPr>
              <w:pStyle w:val="2"/>
              <w:spacing w:after="0" w:line="288" w:lineRule="auto"/>
              <w:ind w:left="210" w:leftChars="100"/>
              <w:rPr>
                <w:rFonts w:ascii="仿宋" w:hAnsi="仿宋" w:eastAsia="仿宋" w:cs="仿宋"/>
                <w:color w:val="auto"/>
                <w:sz w:val="22"/>
                <w:highlight w:val="none"/>
              </w:rPr>
            </w:pPr>
            <w:r>
              <w:rPr>
                <w:rFonts w:hint="eastAsia" w:ascii="仿宋" w:hAnsi="仿宋" w:eastAsia="仿宋" w:cs="仿宋"/>
                <w:color w:val="auto"/>
                <w:sz w:val="22"/>
                <w:szCs w:val="22"/>
                <w:highlight w:val="none"/>
                <w:lang w:val="en-US" w:eastAsia="zh-CN"/>
              </w:rPr>
              <w:t>上述10项内容齐全且无缺陷（缺陷是指：实施方案不明确、人员职责交叉或混乱、实施思路与本项目不匹配或与实际情况不符合,套用其他项目方案等情形，方案内容存在凭空想象与编造、内容与实际实施存在差异性，语义表述不清，存在歧义、混乱，内容不充实完善；）得40分，每缺少一项内容扣4分，扣完为止；单项内容每存在一处缺陷扣2分，单项内容分扣完为止；</w:t>
            </w:r>
          </w:p>
        </w:tc>
      </w:tr>
    </w:tbl>
    <w:p>
      <w:pPr>
        <w:spacing w:line="360" w:lineRule="auto"/>
        <w:ind w:firstLine="361" w:firstLineChars="150"/>
        <w:rPr>
          <w:rFonts w:ascii="仿宋" w:hAnsi="仿宋" w:eastAsia="仿宋" w:cs="仿宋"/>
          <w:b/>
          <w:bCs/>
          <w:color w:val="auto"/>
          <w:sz w:val="24"/>
          <w:highlight w:val="none"/>
        </w:rPr>
      </w:pPr>
    </w:p>
    <w:p>
      <w:pPr>
        <w:spacing w:line="360" w:lineRule="auto"/>
        <w:ind w:firstLine="361" w:firstLineChars="150"/>
        <w:rPr>
          <w:rFonts w:ascii="仿宋" w:hAnsi="仿宋" w:eastAsia="仿宋" w:cs="仿宋"/>
          <w:color w:val="auto"/>
          <w:highlight w:val="none"/>
        </w:rPr>
      </w:pPr>
      <w:r>
        <w:rPr>
          <w:rFonts w:hint="eastAsia" w:ascii="仿宋" w:hAnsi="仿宋" w:eastAsia="仿宋" w:cs="仿宋"/>
          <w:b/>
          <w:bCs/>
          <w:color w:val="auto"/>
          <w:sz w:val="24"/>
          <w:highlight w:val="none"/>
        </w:rPr>
        <w:t>注：评分的取值按四舍五入法，保留小数点后两位。</w:t>
      </w:r>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5.推荐成交候选人名单。</w:t>
      </w:r>
      <w:r>
        <w:rPr>
          <w:rFonts w:hint="eastAsia" w:ascii="仿宋" w:hAnsi="仿宋" w:eastAsia="仿宋" w:cs="仿宋"/>
          <w:color w:val="auto"/>
          <w:sz w:val="24"/>
          <w:szCs w:val="24"/>
          <w:highlight w:val="none"/>
        </w:rPr>
        <w:t>成交候选人数量应当根据采购需要确定，但必须按顺序排列成交候选人。</w:t>
      </w:r>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6.编写比选评审报告。</w:t>
      </w:r>
      <w:r>
        <w:rPr>
          <w:rFonts w:hint="eastAsia" w:ascii="仿宋" w:hAnsi="仿宋" w:eastAsia="仿宋" w:cs="仿宋"/>
          <w:color w:val="auto"/>
          <w:sz w:val="24"/>
          <w:szCs w:val="24"/>
          <w:highlight w:val="none"/>
        </w:rPr>
        <w:t>比选评审报告是比选评审委员会根据全体比选评审成员签字的原始比选评审记录和比选评审结果编写的报告。</w:t>
      </w:r>
    </w:p>
    <w:p>
      <w:pPr>
        <w:spacing w:line="360" w:lineRule="auto"/>
        <w:ind w:firstLine="472" w:firstLineChars="196"/>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7.成交。</w:t>
      </w:r>
      <w:r>
        <w:rPr>
          <w:rFonts w:hint="eastAsia" w:ascii="仿宋" w:hAnsi="仿宋" w:eastAsia="仿宋" w:cs="仿宋"/>
          <w:color w:val="auto"/>
          <w:sz w:val="24"/>
          <w:szCs w:val="24"/>
          <w:highlight w:val="none"/>
        </w:rPr>
        <w:t>比选人根据成交候选人名单，原则上选择综合得分最高的比选申请人为成交人，若遇到特殊情况比选人可自主根据成交候选人名单确定成交人。</w:t>
      </w:r>
    </w:p>
    <w:p>
      <w:pPr>
        <w:spacing w:line="360" w:lineRule="auto"/>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8.重新比选或终止比选。</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本次比选活动中，出现下列情形之一的，予以重新比选或终止比选：</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（1）通过资格性审查和符合性审查供应商数量不足4家的；</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（2）出现影响比选采购公正的违法、违规行为的；</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（3）因重大变故，比选采购任务取消的；</w:t>
      </w:r>
    </w:p>
    <w:p>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重新比选或终止比选的，比选采购单位应在网上公告，并公告详细理由。</w:t>
      </w:r>
    </w:p>
    <w:p>
      <w:pPr>
        <w:rPr>
          <w:rFonts w:ascii="仿宋" w:hAnsi="仿宋" w:eastAsia="仿宋" w:cs="仿宋"/>
          <w:bCs/>
          <w:color w:val="auto"/>
          <w:sz w:val="36"/>
          <w:szCs w:val="36"/>
          <w:highlight w:val="none"/>
        </w:rPr>
      </w:pPr>
      <w:bookmarkStart w:id="38" w:name="_Toc29891"/>
      <w:bookmarkStart w:id="39" w:name="_Toc19680"/>
      <w:r>
        <w:rPr>
          <w:rFonts w:hint="eastAsia" w:ascii="仿宋" w:hAnsi="仿宋" w:eastAsia="仿宋" w:cs="仿宋"/>
          <w:bCs/>
          <w:color w:val="auto"/>
          <w:sz w:val="36"/>
          <w:szCs w:val="36"/>
          <w:highlight w:val="none"/>
        </w:rPr>
        <w:br w:type="page"/>
      </w:r>
    </w:p>
    <w:p>
      <w:pPr>
        <w:pStyle w:val="3"/>
        <w:spacing w:line="400" w:lineRule="exact"/>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第六章 比选申请文件格式</w:t>
      </w:r>
      <w:bookmarkEnd w:id="38"/>
      <w:bookmarkEnd w:id="39"/>
    </w:p>
    <w:p>
      <w:pPr>
        <w:jc w:val="right"/>
        <w:rPr>
          <w:rFonts w:ascii="仿宋" w:hAnsi="仿宋" w:eastAsia="仿宋" w:cs="仿宋"/>
          <w:b/>
          <w:color w:val="auto"/>
          <w:sz w:val="36"/>
          <w:highlight w:val="none"/>
        </w:rPr>
      </w:pPr>
      <w:r>
        <w:rPr>
          <w:rFonts w:hint="eastAsia" w:ascii="仿宋" w:hAnsi="仿宋" w:eastAsia="仿宋" w:cs="仿宋"/>
          <w:b/>
          <w:color w:val="auto"/>
          <w:sz w:val="36"/>
          <w:highlight w:val="none"/>
        </w:rPr>
        <w:t>（正本/副本）</w:t>
      </w:r>
    </w:p>
    <w:p>
      <w:pPr>
        <w:spacing w:line="360" w:lineRule="auto"/>
        <w:jc w:val="center"/>
        <w:rPr>
          <w:rFonts w:ascii="仿宋" w:hAnsi="仿宋" w:eastAsia="仿宋" w:cs="仿宋"/>
          <w:b/>
          <w:color w:val="auto"/>
          <w:sz w:val="52"/>
          <w:szCs w:val="52"/>
          <w:highlight w:val="none"/>
        </w:rPr>
      </w:pPr>
    </w:p>
    <w:p>
      <w:pPr>
        <w:spacing w:line="360" w:lineRule="auto"/>
        <w:jc w:val="center"/>
        <w:rPr>
          <w:rFonts w:ascii="仿宋" w:hAnsi="仿宋" w:eastAsia="仿宋" w:cs="仿宋"/>
          <w:b/>
          <w:color w:val="auto"/>
          <w:sz w:val="52"/>
          <w:szCs w:val="52"/>
          <w:highlight w:val="none"/>
        </w:rPr>
      </w:pPr>
    </w:p>
    <w:p>
      <w:pPr>
        <w:spacing w:line="360" w:lineRule="auto"/>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成都市金牛区妇幼保健院建立2025-2027年度招标代理机构库项目</w:t>
      </w:r>
    </w:p>
    <w:p>
      <w:pPr>
        <w:spacing w:line="360" w:lineRule="auto"/>
        <w:rPr>
          <w:rFonts w:ascii="仿宋" w:hAnsi="仿宋" w:eastAsia="仿宋" w:cs="仿宋"/>
          <w:b/>
          <w:color w:val="auto"/>
          <w:sz w:val="52"/>
          <w:szCs w:val="52"/>
          <w:highlight w:val="none"/>
        </w:rPr>
      </w:pPr>
    </w:p>
    <w:p>
      <w:pPr>
        <w:spacing w:line="360" w:lineRule="auto"/>
        <w:ind w:firstLine="1446" w:firstLineChars="200"/>
        <w:jc w:val="left"/>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比 选 申 请 文 件</w:t>
      </w:r>
    </w:p>
    <w:p>
      <w:pPr>
        <w:spacing w:line="360" w:lineRule="auto"/>
        <w:jc w:val="left"/>
        <w:rPr>
          <w:rFonts w:ascii="仿宋" w:hAnsi="仿宋" w:eastAsia="仿宋" w:cs="仿宋"/>
          <w:b/>
          <w:color w:val="auto"/>
          <w:sz w:val="72"/>
          <w:szCs w:val="72"/>
          <w:highlight w:val="none"/>
        </w:rPr>
      </w:pPr>
    </w:p>
    <w:p>
      <w:pPr>
        <w:spacing w:line="360" w:lineRule="auto"/>
        <w:ind w:firstLine="643" w:firstLineChars="200"/>
        <w:jc w:val="left"/>
        <w:rPr>
          <w:rFonts w:ascii="仿宋" w:hAnsi="仿宋" w:eastAsia="仿宋" w:cs="仿宋"/>
          <w:b/>
          <w:color w:val="auto"/>
          <w:sz w:val="32"/>
          <w:highlight w:val="none"/>
        </w:rPr>
      </w:pPr>
      <w:r>
        <w:rPr>
          <w:rFonts w:hint="eastAsia" w:ascii="仿宋" w:hAnsi="仿宋" w:eastAsia="仿宋" w:cs="仿宋"/>
          <w:b/>
          <w:color w:val="auto"/>
          <w:sz w:val="32"/>
          <w:highlight w:val="none"/>
        </w:rPr>
        <w:t>比选申请人名称：</w:t>
      </w:r>
    </w:p>
    <w:p>
      <w:pPr>
        <w:pStyle w:val="2"/>
        <w:ind w:firstLine="420" w:firstLineChars="200"/>
        <w:rPr>
          <w:rFonts w:eastAsia="仿宋"/>
          <w:color w:val="auto"/>
          <w:highlight w:val="none"/>
        </w:rPr>
      </w:pPr>
    </w:p>
    <w:p>
      <w:pPr>
        <w:jc w:val="center"/>
        <w:rPr>
          <w:rFonts w:ascii="仿宋" w:hAnsi="仿宋" w:eastAsia="仿宋" w:cs="仿宋"/>
          <w:b/>
          <w:color w:val="auto"/>
          <w:sz w:val="36"/>
          <w:highlight w:val="none"/>
        </w:rPr>
      </w:pPr>
    </w:p>
    <w:p>
      <w:pPr>
        <w:spacing w:line="440" w:lineRule="exact"/>
        <w:rPr>
          <w:rFonts w:ascii="仿宋" w:hAnsi="仿宋" w:eastAsia="仿宋" w:cs="仿宋"/>
          <w:b/>
          <w:color w:val="auto"/>
          <w:sz w:val="36"/>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color w:val="auto"/>
          <w:sz w:val="32"/>
          <w:highlight w:val="none"/>
        </w:rPr>
        <w:t>日期：XX年XX月XX日</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4"/>
        <w:spacing w:line="400" w:lineRule="exact"/>
        <w:jc w:val="center"/>
        <w:rPr>
          <w:rFonts w:ascii="仿宋" w:hAnsi="仿宋" w:cs="仿宋"/>
          <w:color w:val="auto"/>
          <w:sz w:val="32"/>
          <w:highlight w:val="none"/>
        </w:rPr>
      </w:pPr>
      <w:bookmarkStart w:id="40" w:name="_Toc217446082"/>
      <w:r>
        <w:rPr>
          <w:rFonts w:hint="eastAsia" w:ascii="仿宋" w:hAnsi="仿宋" w:cs="仿宋"/>
          <w:color w:val="auto"/>
          <w:sz w:val="32"/>
          <w:highlight w:val="none"/>
        </w:rPr>
        <w:t>一、</w:t>
      </w:r>
      <w:bookmarkEnd w:id="40"/>
      <w:r>
        <w:rPr>
          <w:rFonts w:hint="eastAsia" w:ascii="仿宋" w:hAnsi="仿宋" w:cs="仿宋"/>
          <w:color w:val="auto"/>
          <w:sz w:val="32"/>
          <w:highlight w:val="none"/>
        </w:rPr>
        <w:t>比选申请函</w:t>
      </w:r>
    </w:p>
    <w:p>
      <w:pPr>
        <w:pStyle w:val="9"/>
        <w:spacing w:line="400" w:lineRule="exact"/>
        <w:ind w:firstLine="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成都市金牛区妇幼保健院</w:t>
      </w:r>
      <w:r>
        <w:rPr>
          <w:rFonts w:hint="eastAsia" w:ascii="仿宋" w:hAnsi="仿宋" w:eastAsia="仿宋" w:cs="仿宋"/>
          <w:bCs/>
          <w:color w:val="auto"/>
          <w:sz w:val="24"/>
          <w:szCs w:val="24"/>
          <w:highlight w:val="none"/>
        </w:rPr>
        <w:t>：</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我方全面研究了“</w:t>
      </w:r>
      <w:r>
        <w:rPr>
          <w:rFonts w:hint="eastAsia" w:ascii="仿宋" w:hAnsi="仿宋" w:eastAsia="仿宋" w:cs="仿宋"/>
          <w:bCs/>
          <w:color w:val="auto"/>
          <w:sz w:val="24"/>
          <w:szCs w:val="24"/>
          <w:highlight w:val="none"/>
          <w:u w:val="single"/>
        </w:rPr>
        <w:t>XXX</w:t>
      </w:r>
      <w:r>
        <w:rPr>
          <w:rFonts w:hint="eastAsia" w:ascii="仿宋" w:hAnsi="仿宋" w:eastAsia="仿宋" w:cs="仿宋"/>
          <w:bCs/>
          <w:color w:val="auto"/>
          <w:sz w:val="24"/>
          <w:szCs w:val="24"/>
          <w:highlight w:val="none"/>
        </w:rPr>
        <w:t>”项目比选文件，决定参加贵单位组织的本项目比选。</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我方授权</w:t>
      </w:r>
      <w:r>
        <w:rPr>
          <w:rFonts w:hint="eastAsia" w:ascii="仿宋" w:hAnsi="仿宋" w:eastAsia="仿宋" w:cs="仿宋"/>
          <w:bCs/>
          <w:color w:val="auto"/>
          <w:sz w:val="24"/>
          <w:szCs w:val="24"/>
          <w:highlight w:val="none"/>
          <w:u w:val="single"/>
        </w:rPr>
        <w:t>XXX</w:t>
      </w:r>
      <w:r>
        <w:rPr>
          <w:rFonts w:hint="eastAsia" w:ascii="仿宋" w:hAnsi="仿宋" w:eastAsia="仿宋" w:cs="仿宋"/>
          <w:bCs/>
          <w:color w:val="auto"/>
          <w:sz w:val="24"/>
          <w:szCs w:val="24"/>
          <w:highlight w:val="none"/>
        </w:rPr>
        <w:t>（姓名、职务）代表我方</w:t>
      </w:r>
      <w:r>
        <w:rPr>
          <w:rFonts w:hint="eastAsia" w:ascii="仿宋" w:hAnsi="仿宋" w:eastAsia="仿宋" w:cs="仿宋"/>
          <w:bCs/>
          <w:color w:val="auto"/>
          <w:sz w:val="24"/>
          <w:szCs w:val="24"/>
          <w:highlight w:val="none"/>
          <w:u w:val="single"/>
        </w:rPr>
        <w:t>XXX</w:t>
      </w:r>
      <w:r>
        <w:rPr>
          <w:rFonts w:hint="eastAsia" w:ascii="仿宋" w:hAnsi="仿宋" w:eastAsia="仿宋" w:cs="仿宋"/>
          <w:bCs/>
          <w:color w:val="auto"/>
          <w:sz w:val="24"/>
          <w:szCs w:val="24"/>
          <w:highlight w:val="none"/>
        </w:rPr>
        <w:t>（比选申请人名称）全权处理本项目比选的有关事宜。</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1、我方自愿按照比选文件规定的各项要求向比选人提供所需货物/服务。</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2、一旦我方成交，我方将严格履行合同规定的责任和义务。</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3、我方为本项目提交的</w:t>
      </w:r>
      <w:r>
        <w:rPr>
          <w:rFonts w:hint="eastAsia" w:ascii="仿宋" w:hAnsi="仿宋" w:eastAsia="仿宋" w:cs="仿宋"/>
          <w:color w:val="auto"/>
          <w:sz w:val="24"/>
          <w:highlight w:val="none"/>
        </w:rPr>
        <w:t>比选申请</w:t>
      </w:r>
      <w:r>
        <w:rPr>
          <w:rFonts w:hint="eastAsia" w:ascii="仿宋" w:hAnsi="仿宋" w:eastAsia="仿宋" w:cs="仿宋"/>
          <w:bCs/>
          <w:color w:val="auto"/>
          <w:sz w:val="24"/>
          <w:szCs w:val="24"/>
          <w:highlight w:val="none"/>
        </w:rPr>
        <w:t>文件正本1份，副本</w:t>
      </w:r>
      <w:r>
        <w:rPr>
          <w:rFonts w:hint="eastAsia" w:ascii="仿宋" w:hAnsi="仿宋" w:eastAsia="仿宋" w:cs="仿宋"/>
          <w:bCs/>
          <w:color w:val="auto"/>
          <w:sz w:val="24"/>
          <w:szCs w:val="24"/>
          <w:highlight w:val="none"/>
          <w:u w:val="single"/>
        </w:rPr>
        <w:t>2</w:t>
      </w:r>
      <w:r>
        <w:rPr>
          <w:rFonts w:hint="eastAsia" w:ascii="仿宋" w:hAnsi="仿宋" w:eastAsia="仿宋" w:cs="仿宋"/>
          <w:bCs/>
          <w:color w:val="auto"/>
          <w:sz w:val="24"/>
          <w:szCs w:val="24"/>
          <w:highlight w:val="none"/>
        </w:rPr>
        <w:t>份。</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4、我方承诺比选有效期为比选截止日后</w:t>
      </w:r>
      <w:r>
        <w:rPr>
          <w:rFonts w:hint="eastAsia" w:ascii="仿宋" w:hAnsi="仿宋" w:eastAsia="仿宋" w:cs="仿宋"/>
          <w:bCs/>
          <w:color w:val="auto"/>
          <w:sz w:val="24"/>
          <w:szCs w:val="24"/>
          <w:highlight w:val="none"/>
          <w:u w:val="single"/>
          <w:lang w:val="zh-CN"/>
        </w:rPr>
        <w:t>90</w:t>
      </w:r>
      <w:r>
        <w:rPr>
          <w:rFonts w:hint="eastAsia" w:ascii="仿宋" w:hAnsi="仿宋" w:eastAsia="仿宋" w:cs="仿宋"/>
          <w:bCs/>
          <w:color w:val="auto"/>
          <w:sz w:val="24"/>
          <w:szCs w:val="24"/>
          <w:highlight w:val="none"/>
        </w:rPr>
        <w:t>日。</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5、我方愿意提供贵公司可能另外要求的，与比选有关的文件资料，并保证我方已提供和将要提供的文件资料是真实、准确的。</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6、我方完全理解比选人不一定将合同授予最低报价的比选</w:t>
      </w:r>
      <w:r>
        <w:rPr>
          <w:rFonts w:hint="eastAsia" w:ascii="仿宋" w:hAnsi="仿宋" w:eastAsia="仿宋" w:cs="仿宋"/>
          <w:color w:val="auto"/>
          <w:sz w:val="24"/>
          <w:highlight w:val="none"/>
        </w:rPr>
        <w:t>申请人</w:t>
      </w:r>
      <w:r>
        <w:rPr>
          <w:rFonts w:hint="eastAsia" w:ascii="仿宋" w:hAnsi="仿宋" w:eastAsia="仿宋" w:cs="仿宋"/>
          <w:bCs/>
          <w:color w:val="auto"/>
          <w:sz w:val="24"/>
          <w:szCs w:val="24"/>
          <w:highlight w:val="none"/>
        </w:rPr>
        <w:t>的行为。</w:t>
      </w:r>
    </w:p>
    <w:p>
      <w:pPr>
        <w:pStyle w:val="9"/>
        <w:spacing w:line="400" w:lineRule="exact"/>
        <w:ind w:firstLine="0"/>
        <w:rPr>
          <w:rFonts w:ascii="仿宋" w:hAnsi="仿宋" w:eastAsia="仿宋" w:cs="仿宋"/>
          <w:bCs/>
          <w:color w:val="auto"/>
          <w:sz w:val="24"/>
          <w:szCs w:val="24"/>
          <w:highlight w:val="none"/>
        </w:rPr>
      </w:pP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比选</w:t>
      </w:r>
      <w:r>
        <w:rPr>
          <w:rFonts w:hint="eastAsia" w:ascii="仿宋" w:hAnsi="仿宋" w:eastAsia="仿宋" w:cs="仿宋"/>
          <w:color w:val="auto"/>
          <w:sz w:val="24"/>
          <w:highlight w:val="none"/>
        </w:rPr>
        <w:t>申请人名称</w:t>
      </w:r>
      <w:r>
        <w:rPr>
          <w:rFonts w:hint="eastAsia" w:ascii="仿宋" w:hAnsi="仿宋" w:eastAsia="仿宋" w:cs="仿宋"/>
          <w:bCs/>
          <w:color w:val="auto"/>
          <w:sz w:val="24"/>
          <w:szCs w:val="24"/>
          <w:highlight w:val="none"/>
        </w:rPr>
        <w:t>：（盖章）</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w:t>
      </w:r>
      <w:r>
        <w:rPr>
          <w:rFonts w:hint="eastAsia" w:ascii="仿宋" w:hAnsi="仿宋" w:eastAsia="仿宋" w:cs="仿宋"/>
          <w:color w:val="auto"/>
          <w:sz w:val="24"/>
          <w:szCs w:val="24"/>
          <w:highlight w:val="none"/>
        </w:rPr>
        <w:t>单位负责人</w:t>
      </w:r>
      <w:r>
        <w:rPr>
          <w:rFonts w:hint="eastAsia" w:ascii="仿宋" w:hAnsi="仿宋" w:eastAsia="仿宋" w:cs="仿宋"/>
          <w:bCs/>
          <w:color w:val="auto"/>
          <w:sz w:val="24"/>
          <w:szCs w:val="24"/>
          <w:highlight w:val="none"/>
        </w:rPr>
        <w:t>或授权代表（签字）：</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通讯地址：</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邮政编码：</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w:t>
      </w:r>
    </w:p>
    <w:p>
      <w:pPr>
        <w:pStyle w:val="9"/>
        <w:spacing w:line="40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
        <w:spacing w:line="400" w:lineRule="exact"/>
        <w:jc w:val="center"/>
        <w:rPr>
          <w:rFonts w:ascii="仿宋" w:hAnsi="仿宋" w:cs="仿宋"/>
          <w:color w:val="auto"/>
          <w:sz w:val="32"/>
          <w:highlight w:val="none"/>
        </w:rPr>
      </w:pPr>
      <w:r>
        <w:rPr>
          <w:rFonts w:hint="eastAsia" w:ascii="仿宋" w:hAnsi="仿宋" w:cs="仿宋"/>
          <w:color w:val="auto"/>
          <w:sz w:val="32"/>
          <w:highlight w:val="none"/>
        </w:rPr>
        <w:t>二、比选申请人根据自身情况在申请文件中提供（一）或（二）</w:t>
      </w:r>
    </w:p>
    <w:p>
      <w:pPr>
        <w:pStyle w:val="33"/>
        <w:spacing w:before="46" w:after="46"/>
        <w:ind w:firstLine="643"/>
        <w:jc w:val="center"/>
        <w:rPr>
          <w:rFonts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（一）授权委托书</w:t>
      </w:r>
    </w:p>
    <w:p>
      <w:pPr>
        <w:pStyle w:val="33"/>
        <w:spacing w:before="46" w:after="46"/>
        <w:ind w:firstLine="480"/>
        <w:jc w:val="center"/>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（若比选申请人代表为“授权代表”时，提供此委托书）</w:t>
      </w:r>
    </w:p>
    <w:p>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成都市金牛区妇幼保健院：</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（比选申请人名称）的法定代表人（单位负责人），现委托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（姓名）为我方代理人。代理人在本次采购中所签署的一切文件和处理的一切有关事宜，我公司（单位）均予承认，所产生的法律后果均由我公司（单位）承担。</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委托期限：自本授权委托书签署之日起至比选申请文件文件有效期届满之日止。代理人无转委托权。</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法定代表人（单位负责人）（签字或加盖个人名章）：XXXX。</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授权代表（代理人）签字：XXXX。</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法定代表人（单位负责人）有效期内的居民身份证正反面</w:t>
      </w:r>
    </w:p>
    <w:tbl>
      <w:tblPr>
        <w:tblStyle w:val="18"/>
        <w:tblW w:w="58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3" w:hRule="atLeast"/>
          <w:jc w:val="center"/>
        </w:trPr>
        <w:tc>
          <w:tcPr>
            <w:tcW w:w="2964" w:type="dxa"/>
          </w:tcPr>
          <w:p>
            <w:pPr>
              <w:tabs>
                <w:tab w:val="left" w:pos="5580"/>
              </w:tabs>
              <w:spacing w:line="360" w:lineRule="auto"/>
              <w:jc w:val="left"/>
              <w:rPr>
                <w:rFonts w:ascii="仿宋" w:hAnsi="仿宋" w:eastAsia="仿宋" w:cs="仿宋"/>
                <w:color w:val="auto"/>
                <w:sz w:val="24"/>
                <w:szCs w:val="20"/>
                <w:highlight w:val="none"/>
              </w:rPr>
            </w:pPr>
          </w:p>
        </w:tc>
        <w:tc>
          <w:tcPr>
            <w:tcW w:w="2875" w:type="dxa"/>
          </w:tcPr>
          <w:p>
            <w:pPr>
              <w:tabs>
                <w:tab w:val="left" w:pos="5580"/>
              </w:tabs>
              <w:spacing w:line="360" w:lineRule="auto"/>
              <w:jc w:val="left"/>
              <w:rPr>
                <w:rFonts w:ascii="仿宋" w:hAnsi="仿宋" w:eastAsia="仿宋" w:cs="仿宋"/>
                <w:color w:val="auto"/>
                <w:sz w:val="24"/>
                <w:szCs w:val="20"/>
                <w:highlight w:val="none"/>
              </w:rPr>
            </w:pPr>
          </w:p>
        </w:tc>
      </w:tr>
    </w:tbl>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授权代表（代理人）有效期内的居民身份证正反面</w:t>
      </w:r>
    </w:p>
    <w:tbl>
      <w:tblPr>
        <w:tblStyle w:val="18"/>
        <w:tblW w:w="58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3" w:hRule="atLeast"/>
          <w:jc w:val="center"/>
        </w:trPr>
        <w:tc>
          <w:tcPr>
            <w:tcW w:w="2964" w:type="dxa"/>
          </w:tcPr>
          <w:p>
            <w:pPr>
              <w:tabs>
                <w:tab w:val="left" w:pos="5580"/>
              </w:tabs>
              <w:spacing w:line="360" w:lineRule="auto"/>
              <w:jc w:val="left"/>
              <w:rPr>
                <w:rFonts w:ascii="仿宋" w:hAnsi="仿宋" w:eastAsia="仿宋" w:cs="仿宋"/>
                <w:color w:val="auto"/>
                <w:sz w:val="24"/>
                <w:szCs w:val="20"/>
                <w:highlight w:val="none"/>
              </w:rPr>
            </w:pPr>
          </w:p>
        </w:tc>
        <w:tc>
          <w:tcPr>
            <w:tcW w:w="2875" w:type="dxa"/>
          </w:tcPr>
          <w:p>
            <w:pPr>
              <w:tabs>
                <w:tab w:val="left" w:pos="5580"/>
              </w:tabs>
              <w:spacing w:line="360" w:lineRule="auto"/>
              <w:jc w:val="left"/>
              <w:rPr>
                <w:rFonts w:ascii="仿宋" w:hAnsi="仿宋" w:eastAsia="仿宋" w:cs="仿宋"/>
                <w:color w:val="auto"/>
                <w:sz w:val="24"/>
                <w:szCs w:val="20"/>
                <w:highlight w:val="none"/>
              </w:rPr>
            </w:pPr>
          </w:p>
        </w:tc>
      </w:tr>
    </w:tbl>
    <w:p>
      <w:pPr>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注：1.提供有效期内的身份证明材料，例如居民身份证或户口本或军官证或护照等；2.若提供居民身份证，须为正、反面复印件。</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15"/>
        <w:spacing w:before="0" w:beforeAutospacing="0" w:after="0" w:afterAutospacing="0" w:line="360" w:lineRule="auto"/>
        <w:ind w:firstLine="643" w:firstLineChars="200"/>
        <w:jc w:val="center"/>
        <w:rPr>
          <w:rFonts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（二）法定代表人（单位负责人）身份证明</w:t>
      </w:r>
    </w:p>
    <w:p>
      <w:pPr>
        <w:pStyle w:val="15"/>
        <w:spacing w:before="0" w:beforeAutospacing="0" w:after="0" w:afterAutospacing="0" w:line="360" w:lineRule="auto"/>
        <w:ind w:firstLine="480" w:firstLineChars="200"/>
        <w:jc w:val="center"/>
        <w:rPr>
          <w:rFonts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（若比选申请人代表为“法定代表人（单位负责人）”时，提供此证明）</w:t>
      </w:r>
    </w:p>
    <w:p>
      <w:pPr>
        <w:widowControl/>
        <w:spacing w:line="360" w:lineRule="auto"/>
        <w:jc w:val="left"/>
        <w:rPr>
          <w:rFonts w:ascii="仿宋" w:hAnsi="仿宋" w:eastAsia="仿宋" w:cs="仿宋"/>
          <w:color w:val="auto"/>
          <w:sz w:val="24"/>
          <w:highlight w:val="none"/>
        </w:rPr>
      </w:pPr>
    </w:p>
    <w:p>
      <w:pPr>
        <w:widowControl/>
        <w:spacing w:line="360" w:lineRule="auto"/>
        <w:jc w:val="left"/>
        <w:rPr>
          <w:rFonts w:ascii="仿宋" w:hAnsi="仿宋" w:eastAsia="仿宋" w:cs="仿宋"/>
          <w:color w:val="auto"/>
          <w:sz w:val="24"/>
          <w:szCs w:val="24"/>
          <w:highlight w:val="none"/>
          <w:u w:val="single"/>
        </w:rPr>
      </w:pPr>
      <w:r>
        <w:rPr>
          <w:rFonts w:hint="eastAsia" w:ascii="仿宋" w:hAnsi="仿宋" w:eastAsia="仿宋" w:cs="仿宋"/>
          <w:color w:val="auto"/>
          <w:sz w:val="24"/>
          <w:highlight w:val="none"/>
        </w:rPr>
        <w:t>成都市金牛区妇幼保健院：</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（比选申请人名称）的法定代表人（单位负责人）（职务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pPr>
        <w:pStyle w:val="15"/>
        <w:spacing w:before="0" w:beforeAutospacing="0" w:after="0" w:afterAutospacing="0" w:line="360" w:lineRule="auto"/>
        <w:rPr>
          <w:rFonts w:ascii="仿宋" w:hAnsi="仿宋" w:eastAsia="仿宋" w:cs="仿宋"/>
          <w:color w:val="auto"/>
          <w:highlight w:val="none"/>
        </w:rPr>
      </w:pP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法定代表人（单位负责人）（签字或加盖个人名章）：XXXX。</w:t>
      </w: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pStyle w:val="15"/>
        <w:spacing w:before="0" w:beforeAutospacing="0" w:after="0" w:afterAutospacing="0" w:line="360" w:lineRule="auto"/>
        <w:ind w:firstLine="480" w:firstLineChars="200"/>
        <w:rPr>
          <w:rFonts w:ascii="仿宋" w:hAnsi="仿宋" w:eastAsia="仿宋" w:cs="仿宋"/>
          <w:color w:val="auto"/>
          <w:sz w:val="24"/>
          <w:szCs w:val="24"/>
          <w:highlight w:val="none"/>
        </w:rPr>
      </w:pPr>
    </w:p>
    <w:p>
      <w:pPr>
        <w:pStyle w:val="2"/>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法定代表人（单位负责人）有效期内的居民身份证正反面</w:t>
      </w:r>
    </w:p>
    <w:tbl>
      <w:tblPr>
        <w:tblStyle w:val="18"/>
        <w:tblW w:w="68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3" w:hRule="atLeast"/>
          <w:jc w:val="center"/>
        </w:trPr>
        <w:tc>
          <w:tcPr>
            <w:tcW w:w="3501" w:type="dxa"/>
          </w:tcPr>
          <w:p>
            <w:pPr>
              <w:tabs>
                <w:tab w:val="left" w:pos="5580"/>
              </w:tabs>
              <w:spacing w:line="360" w:lineRule="auto"/>
              <w:jc w:val="left"/>
              <w:rPr>
                <w:rFonts w:ascii="仿宋" w:hAnsi="仿宋" w:eastAsia="仿宋" w:cs="仿宋"/>
                <w:color w:val="auto"/>
                <w:sz w:val="24"/>
                <w:szCs w:val="20"/>
                <w:highlight w:val="none"/>
              </w:rPr>
            </w:pPr>
          </w:p>
        </w:tc>
        <w:tc>
          <w:tcPr>
            <w:tcW w:w="3398" w:type="dxa"/>
          </w:tcPr>
          <w:p>
            <w:pPr>
              <w:tabs>
                <w:tab w:val="left" w:pos="5580"/>
              </w:tabs>
              <w:spacing w:line="360" w:lineRule="auto"/>
              <w:jc w:val="left"/>
              <w:rPr>
                <w:rFonts w:ascii="仿宋" w:hAnsi="仿宋" w:eastAsia="仿宋" w:cs="仿宋"/>
                <w:color w:val="auto"/>
                <w:sz w:val="24"/>
                <w:szCs w:val="20"/>
                <w:highlight w:val="none"/>
              </w:rPr>
            </w:pPr>
          </w:p>
        </w:tc>
      </w:tr>
    </w:tbl>
    <w:p>
      <w:pPr>
        <w:pStyle w:val="15"/>
        <w:spacing w:before="0" w:beforeAutospacing="0" w:after="0" w:afterAutospacing="0" w:line="360" w:lineRule="auto"/>
        <w:ind w:firstLine="482" w:firstLineChars="200"/>
        <w:rPr>
          <w:rFonts w:ascii="仿宋" w:hAnsi="仿宋" w:eastAsia="仿宋" w:cs="仿宋"/>
          <w:b/>
          <w:bCs/>
          <w:color w:val="auto"/>
          <w:sz w:val="24"/>
          <w:szCs w:val="24"/>
          <w:highlight w:val="none"/>
        </w:rPr>
      </w:pP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注：1.提供有效期内的身份证明材料，例如居民身份证或户口本或军官证或护照等；2.若提供居民身份证，须为正、反面复印件。</w:t>
      </w: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
        <w:spacing w:line="400" w:lineRule="exact"/>
        <w:jc w:val="center"/>
        <w:rPr>
          <w:rFonts w:ascii="仿宋" w:hAnsi="仿宋" w:cs="仿宋"/>
          <w:color w:val="auto"/>
          <w:sz w:val="32"/>
          <w:highlight w:val="none"/>
        </w:rPr>
      </w:pPr>
      <w:r>
        <w:rPr>
          <w:rFonts w:hint="eastAsia" w:ascii="仿宋" w:hAnsi="仿宋" w:cs="仿宋"/>
          <w:color w:val="auto"/>
          <w:sz w:val="32"/>
          <w:highlight w:val="none"/>
        </w:rPr>
        <w:t>三、承诺函</w:t>
      </w:r>
    </w:p>
    <w:p>
      <w:pPr>
        <w:widowControl/>
        <w:spacing w:line="36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成都市金牛区妇幼保健院：</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我方全面研究了“</w:t>
      </w:r>
      <w:r>
        <w:rPr>
          <w:rFonts w:hint="eastAsia" w:ascii="仿宋" w:hAnsi="仿宋" w:eastAsia="仿宋" w:cs="仿宋"/>
          <w:color w:val="auto"/>
          <w:sz w:val="24"/>
          <w:highlight w:val="none"/>
          <w:lang w:eastAsia="zh-CN"/>
        </w:rPr>
        <w:t>成都市金牛区妇幼保健院建立2025-2027年度招标代理机构库项目</w:t>
      </w:r>
      <w:r>
        <w:rPr>
          <w:rFonts w:hint="eastAsia" w:ascii="仿宋" w:hAnsi="仿宋" w:eastAsia="仿宋" w:cs="仿宋"/>
          <w:color w:val="auto"/>
          <w:sz w:val="24"/>
          <w:highlight w:val="none"/>
        </w:rPr>
        <w:t>”比选文件，决定参加贵单位组织的本项目比选采购。</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1.具备下列规定的条件：</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（5）参加本次采购活动前三年内，在经营活动中没有重大违法记录；</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（6）供应商及其现任法定代表人（非法人机构则为主要负责人）不得具有行贿犯罪记录；</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（7）供应商截止至本项目比选申请文件递交截止时间未被列入“信用中国”网站(www.creditchina.gov.cn)、“中国政府采购网”网站(www.ccgp.gov.cn) 中任一网站的失信被执行人名单或税收违法黑名单或政府采购严重违法失信行为记录名单；</w:t>
      </w:r>
    </w:p>
    <w:p>
      <w:pPr>
        <w:widowControl/>
        <w:spacing w:line="560" w:lineRule="exact"/>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（8）比选项目的特殊要求：已在中国政府采购网进行网上登记备案；</w:t>
      </w:r>
    </w:p>
    <w:p>
      <w:pPr>
        <w:spacing w:line="56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3.在参加本次采购活动中，不存在与单位负责人为同一人或者存在直接控股、管理关系的其他比选申请人参与同一合同项下的采购活动的行为。</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4.为采购项目提供整体设计、规范编制或者项目管理、监理、检测等服务的比选申请人，不得再参加该采购项目的其他采购活动，我方承诺不属于此类禁止参加本项目的比选申请人。</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5.在参加本次采购活动中，不存在和其他比选申请人在同一合同项下的采购项目中，同时委托同一个自然人、同一家庭的人员、同一单位的人员作为代理人的行为。</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6.我方实际控制人或者中高级管理人员，不存在同时是比选人工作人员的情形。</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7.不存在同一母公司的两家以上的子公司，以不同比选申请人身份同时参加本项目同一合同项下的采购活动的情形。</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8.我方与比选人不存在关联关系，也不是比选人的母公司或子公司。</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9.比选申请文件中提供的任何资料和技术、服务、商务等响应承诺情况都是真实的、有效的、合法的。</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12.参加本次采购活动，我方完全同意比选文件第二章关于“比选费用”、“合同分包”、“合同转包”的实质性要求，并承诺严格按照比选文件要求履行。</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14.我方自愿按照比选文件规定的各项要求向比选人提供所需货物和服务。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15.一旦我方成交，我方将严格履行采购合同规定的责任和义务。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16.我方愿意提供贵单位可能另外要求的，与比选报价有关的文件资料，并保证我方已提供和将要提供的文件资料是真实、准确的。</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17.我方接受比选人按照采购合同约定金额支付采购资金，报价以比选申请文件为准。</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18.我方接受比选文件的采购流程，如因违反比选文件的情形导致不予退还比选保证金，由此造成的损失由我方自行承担，其比选保证金用于弥补比选方损失。</w:t>
      </w:r>
    </w:p>
    <w:p>
      <w:pPr>
        <w:widowControl/>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本单位对上述承诺的内容事项真实性负责。如经查实上述承诺的内容事项存在虚假，我单位愿意接受以提供虚假材料谋取成交追究法律责任。</w:t>
      </w:r>
    </w:p>
    <w:p>
      <w:pPr>
        <w:pStyle w:val="6"/>
        <w:spacing w:line="560" w:lineRule="exact"/>
        <w:rPr>
          <w:rFonts w:ascii="仿宋" w:hAnsi="仿宋" w:eastAsia="仿宋" w:cs="仿宋"/>
          <w:color w:val="auto"/>
          <w:highlight w:val="none"/>
        </w:rPr>
      </w:pP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4"/>
        <w:spacing w:line="400" w:lineRule="exact"/>
        <w:jc w:val="center"/>
        <w:rPr>
          <w:rFonts w:ascii="仿宋" w:hAnsi="仿宋" w:cs="仿宋"/>
          <w:color w:val="auto"/>
          <w:sz w:val="32"/>
          <w:highlight w:val="none"/>
        </w:rPr>
      </w:pPr>
      <w:bookmarkStart w:id="41" w:name="_Toc217446088"/>
      <w:r>
        <w:rPr>
          <w:rFonts w:hint="eastAsia" w:ascii="仿宋" w:hAnsi="仿宋" w:cs="仿宋"/>
          <w:color w:val="auto"/>
          <w:sz w:val="32"/>
          <w:highlight w:val="none"/>
        </w:rPr>
        <w:t>四、比选申请人基本情况表</w:t>
      </w:r>
      <w:bookmarkEnd w:id="41"/>
    </w:p>
    <w:p>
      <w:pPr>
        <w:autoSpaceDE w:val="0"/>
        <w:autoSpaceDN w:val="0"/>
        <w:adjustRightInd w:val="0"/>
        <w:spacing w:before="156" w:beforeLines="50" w:after="156" w:afterLines="50" w:line="400" w:lineRule="exact"/>
        <w:jc w:val="center"/>
        <w:rPr>
          <w:rFonts w:ascii="仿宋" w:hAnsi="仿宋" w:eastAsia="仿宋" w:cs="仿宋"/>
          <w:color w:val="auto"/>
          <w:sz w:val="20"/>
          <w:highlight w:val="none"/>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179" w:type="dxa"/>
            <w:gridSpan w:val="4"/>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325"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254"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711"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461"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332"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254"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711"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461"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332"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254"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6758" w:type="dxa"/>
            <w:gridSpan w:val="8"/>
            <w:vAlign w:val="center"/>
          </w:tcPr>
          <w:p>
            <w:pPr>
              <w:autoSpaceDE w:val="0"/>
              <w:autoSpaceDN w:val="0"/>
              <w:adjustRightInd w:val="0"/>
              <w:spacing w:line="400" w:lineRule="exac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711"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206" w:type="dxa"/>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332"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178"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76" w:type="dxa"/>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711"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206" w:type="dxa"/>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332"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178"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76" w:type="dxa"/>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Merge w:val="restart"/>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1493"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1917" w:type="dxa"/>
            <w:gridSpan w:val="2"/>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auto"/>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758" w:type="dxa"/>
            <w:gridSpan w:val="8"/>
            <w:vAlign w:val="center"/>
          </w:tcPr>
          <w:p>
            <w:pPr>
              <w:autoSpaceDE w:val="0"/>
              <w:autoSpaceDN w:val="0"/>
              <w:adjustRightInd w:val="0"/>
              <w:spacing w:line="400" w:lineRule="exact"/>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6758" w:type="dxa"/>
            <w:gridSpan w:val="8"/>
          </w:tcPr>
          <w:p>
            <w:pPr>
              <w:autoSpaceDE w:val="0"/>
              <w:autoSpaceDN w:val="0"/>
              <w:adjustRightInd w:val="0"/>
              <w:spacing w:line="400" w:lineRule="exact"/>
              <w:jc w:val="left"/>
              <w:rPr>
                <w:rFonts w:ascii="仿宋" w:hAnsi="仿宋" w:eastAsia="仿宋" w:cs="仿宋"/>
                <w:color w:val="auto"/>
                <w:szCs w:val="21"/>
                <w:highlight w:val="none"/>
              </w:rPr>
            </w:pPr>
          </w:p>
        </w:tc>
      </w:tr>
    </w:tbl>
    <w:p>
      <w:pPr>
        <w:adjustRightInd w:val="0"/>
        <w:spacing w:line="400" w:lineRule="exact"/>
        <w:ind w:firstLine="420" w:firstLineChars="175"/>
        <w:jc w:val="left"/>
        <w:rPr>
          <w:rFonts w:ascii="仿宋" w:hAnsi="仿宋" w:eastAsia="仿宋" w:cs="仿宋"/>
          <w:color w:val="auto"/>
          <w:sz w:val="24"/>
          <w:highlight w:val="none"/>
        </w:rPr>
      </w:pP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4"/>
        <w:spacing w:line="400" w:lineRule="exact"/>
        <w:jc w:val="center"/>
        <w:rPr>
          <w:rFonts w:ascii="仿宋" w:hAnsi="仿宋" w:cs="仿宋"/>
          <w:color w:val="auto"/>
          <w:sz w:val="32"/>
          <w:highlight w:val="none"/>
        </w:rPr>
      </w:pPr>
      <w:bookmarkStart w:id="42" w:name="_Toc217446089"/>
      <w:r>
        <w:rPr>
          <w:rFonts w:hint="eastAsia" w:ascii="仿宋" w:hAnsi="仿宋" w:cs="仿宋"/>
          <w:color w:val="auto"/>
          <w:sz w:val="32"/>
          <w:highlight w:val="none"/>
        </w:rPr>
        <w:t>五、比选申请人类似项目业绩一览表</w:t>
      </w:r>
      <w:bookmarkEnd w:id="42"/>
    </w:p>
    <w:p>
      <w:pPr>
        <w:spacing w:line="400" w:lineRule="exact"/>
        <w:rPr>
          <w:rFonts w:ascii="仿宋" w:hAnsi="仿宋" w:eastAsia="仿宋" w:cs="仿宋"/>
          <w:color w:val="auto"/>
          <w:sz w:val="24"/>
          <w:highlight w:val="none"/>
        </w:rPr>
      </w:pPr>
    </w:p>
    <w:tbl>
      <w:tblPr>
        <w:tblStyle w:val="18"/>
        <w:tblW w:w="84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年份</w:t>
            </w:r>
          </w:p>
        </w:tc>
        <w:tc>
          <w:tcPr>
            <w:tcW w:w="1681" w:type="dxa"/>
            <w:vAlign w:val="center"/>
          </w:tcPr>
          <w:p>
            <w:pPr>
              <w:spacing w:line="400" w:lineRule="exact"/>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用户名称</w:t>
            </w:r>
          </w:p>
        </w:tc>
        <w:tc>
          <w:tcPr>
            <w:tcW w:w="1541" w:type="dxa"/>
            <w:vAlign w:val="center"/>
          </w:tcPr>
          <w:p>
            <w:pPr>
              <w:spacing w:line="400" w:lineRule="exact"/>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项目名称</w:t>
            </w:r>
          </w:p>
        </w:tc>
        <w:tc>
          <w:tcPr>
            <w:tcW w:w="1519" w:type="dxa"/>
            <w:vAlign w:val="center"/>
          </w:tcPr>
          <w:p>
            <w:pPr>
              <w:spacing w:line="400" w:lineRule="exact"/>
              <w:ind w:left="1" w:leftChars="-28" w:hanging="60" w:hangingChars="27"/>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完成时间</w:t>
            </w:r>
          </w:p>
        </w:tc>
        <w:tc>
          <w:tcPr>
            <w:tcW w:w="1559" w:type="dxa"/>
            <w:vAlign w:val="center"/>
          </w:tcPr>
          <w:p>
            <w:pPr>
              <w:spacing w:line="400" w:lineRule="exact"/>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合同金额</w:t>
            </w:r>
          </w:p>
        </w:tc>
        <w:tc>
          <w:tcPr>
            <w:tcW w:w="1272" w:type="dxa"/>
            <w:tcBorders>
              <w:left w:val="single" w:color="auto" w:sz="4" w:space="0"/>
            </w:tcBorders>
            <w:vAlign w:val="center"/>
          </w:tcPr>
          <w:p>
            <w:pPr>
              <w:spacing w:line="400" w:lineRule="exact"/>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vAlign w:val="center"/>
          </w:tcPr>
          <w:p>
            <w:pPr>
              <w:spacing w:line="400" w:lineRule="exact"/>
              <w:jc w:val="center"/>
              <w:rPr>
                <w:rFonts w:ascii="仿宋" w:hAnsi="仿宋" w:eastAsia="仿宋" w:cs="仿宋"/>
                <w:color w:val="auto"/>
                <w:highlight w:val="none"/>
              </w:rPr>
            </w:pPr>
          </w:p>
        </w:tc>
        <w:tc>
          <w:tcPr>
            <w:tcW w:w="1541" w:type="dxa"/>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vAlign w:val="center"/>
          </w:tcPr>
          <w:p>
            <w:pPr>
              <w:spacing w:line="400" w:lineRule="exact"/>
              <w:jc w:val="center"/>
              <w:rPr>
                <w:rFonts w:ascii="仿宋" w:hAnsi="仿宋" w:eastAsia="仿宋" w:cs="仿宋"/>
                <w:color w:val="auto"/>
                <w:highlight w:val="none"/>
              </w:rPr>
            </w:pPr>
          </w:p>
        </w:tc>
        <w:tc>
          <w:tcPr>
            <w:tcW w:w="1541" w:type="dxa"/>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vAlign w:val="center"/>
          </w:tcPr>
          <w:p>
            <w:pPr>
              <w:spacing w:line="400" w:lineRule="exact"/>
              <w:jc w:val="center"/>
              <w:rPr>
                <w:rFonts w:ascii="仿宋" w:hAnsi="仿宋" w:eastAsia="仿宋" w:cs="仿宋"/>
                <w:color w:val="auto"/>
                <w:highlight w:val="none"/>
              </w:rPr>
            </w:pPr>
          </w:p>
        </w:tc>
        <w:tc>
          <w:tcPr>
            <w:tcW w:w="1541" w:type="dxa"/>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auto"/>
                <w:highlight w:val="none"/>
              </w:rPr>
            </w:pPr>
          </w:p>
        </w:tc>
        <w:tc>
          <w:tcPr>
            <w:tcW w:w="1681" w:type="dxa"/>
            <w:tcBorders>
              <w:right w:val="single" w:color="auto" w:sz="4" w:space="0"/>
            </w:tcBorders>
            <w:vAlign w:val="center"/>
          </w:tcPr>
          <w:p>
            <w:pPr>
              <w:spacing w:line="400" w:lineRule="exact"/>
              <w:jc w:val="center"/>
              <w:rPr>
                <w:rFonts w:ascii="仿宋" w:hAnsi="仿宋" w:eastAsia="仿宋" w:cs="仿宋"/>
                <w:color w:val="auto"/>
                <w:highlight w:val="none"/>
              </w:rPr>
            </w:pPr>
          </w:p>
        </w:tc>
        <w:tc>
          <w:tcPr>
            <w:tcW w:w="1541" w:type="dxa"/>
            <w:tcBorders>
              <w:left w:val="single" w:color="auto" w:sz="4" w:space="0"/>
            </w:tcBorders>
            <w:vAlign w:val="center"/>
          </w:tcPr>
          <w:p>
            <w:pPr>
              <w:spacing w:line="400" w:lineRule="exact"/>
              <w:jc w:val="center"/>
              <w:rPr>
                <w:rFonts w:ascii="仿宋" w:hAnsi="仿宋" w:eastAsia="仿宋" w:cs="仿宋"/>
                <w:color w:val="auto"/>
                <w:highlight w:val="none"/>
              </w:rPr>
            </w:pPr>
          </w:p>
        </w:tc>
        <w:tc>
          <w:tcPr>
            <w:tcW w:w="1519" w:type="dxa"/>
            <w:vAlign w:val="center"/>
          </w:tcPr>
          <w:p>
            <w:pPr>
              <w:spacing w:line="400" w:lineRule="exact"/>
              <w:jc w:val="center"/>
              <w:rPr>
                <w:rFonts w:ascii="仿宋" w:hAnsi="仿宋" w:eastAsia="仿宋" w:cs="仿宋"/>
                <w:color w:val="auto"/>
                <w:highlight w:val="none"/>
              </w:rPr>
            </w:pPr>
          </w:p>
        </w:tc>
        <w:tc>
          <w:tcPr>
            <w:tcW w:w="1559" w:type="dxa"/>
            <w:vAlign w:val="center"/>
          </w:tcPr>
          <w:p>
            <w:pPr>
              <w:spacing w:line="400" w:lineRule="exact"/>
              <w:jc w:val="center"/>
              <w:rPr>
                <w:rFonts w:ascii="仿宋" w:hAnsi="仿宋" w:eastAsia="仿宋" w:cs="仿宋"/>
                <w:color w:val="auto"/>
                <w:highlight w:val="none"/>
              </w:rPr>
            </w:pPr>
          </w:p>
        </w:tc>
        <w:tc>
          <w:tcPr>
            <w:tcW w:w="1272" w:type="dxa"/>
            <w:tcBorders>
              <w:left w:val="single" w:color="auto" w:sz="4" w:space="0"/>
            </w:tcBorders>
            <w:vAlign w:val="center"/>
          </w:tcPr>
          <w:p>
            <w:pPr>
              <w:spacing w:line="400" w:lineRule="exact"/>
              <w:jc w:val="center"/>
              <w:rPr>
                <w:rFonts w:ascii="仿宋" w:hAnsi="仿宋" w:eastAsia="仿宋" w:cs="仿宋"/>
                <w:color w:val="auto"/>
                <w:highlight w:val="none"/>
              </w:rPr>
            </w:pPr>
          </w:p>
        </w:tc>
      </w:tr>
    </w:tbl>
    <w:p>
      <w:pPr>
        <w:widowControl/>
        <w:spacing w:line="360" w:lineRule="auto"/>
        <w:ind w:firstLine="470" w:firstLineChars="196"/>
        <w:jc w:val="left"/>
        <w:rPr>
          <w:rFonts w:ascii="仿宋" w:hAnsi="仿宋" w:eastAsia="仿宋" w:cs="仿宋"/>
          <w:color w:val="auto"/>
          <w:sz w:val="24"/>
          <w:highlight w:val="none"/>
        </w:rPr>
      </w:pP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4"/>
        <w:spacing w:line="400" w:lineRule="exact"/>
        <w:jc w:val="center"/>
        <w:rPr>
          <w:rFonts w:ascii="仿宋" w:hAnsi="仿宋" w:cs="仿宋"/>
          <w:color w:val="auto"/>
          <w:sz w:val="32"/>
          <w:highlight w:val="none"/>
        </w:rPr>
      </w:pPr>
      <w:r>
        <w:rPr>
          <w:rFonts w:hint="eastAsia" w:ascii="仿宋" w:hAnsi="仿宋" w:cs="仿宋"/>
          <w:color w:val="auto"/>
          <w:sz w:val="32"/>
          <w:highlight w:val="none"/>
        </w:rPr>
        <w:t>六、技术服务要求响应情况表</w:t>
      </w:r>
    </w:p>
    <w:p>
      <w:pPr>
        <w:rPr>
          <w:rFonts w:ascii="仿宋" w:hAnsi="仿宋" w:eastAsia="仿宋" w:cs="仿宋"/>
          <w:color w:val="auto"/>
          <w:highlight w:val="none"/>
        </w:rPr>
      </w:pPr>
    </w:p>
    <w:tbl>
      <w:tblPr>
        <w:tblStyle w:val="18"/>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序号</w:t>
            </w:r>
          </w:p>
        </w:tc>
        <w:tc>
          <w:tcPr>
            <w:tcW w:w="298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比选文件要求</w:t>
            </w:r>
          </w:p>
        </w:tc>
        <w:tc>
          <w:tcPr>
            <w:tcW w:w="31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响应内容</w:t>
            </w:r>
          </w:p>
        </w:tc>
        <w:tc>
          <w:tcPr>
            <w:tcW w:w="2515" w:type="dxa"/>
            <w:vAlign w:val="center"/>
          </w:tcPr>
          <w:p>
            <w:pPr>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spacing w:line="360" w:lineRule="auto"/>
              <w:jc w:val="center"/>
              <w:rPr>
                <w:rFonts w:ascii="仿宋" w:hAnsi="仿宋" w:eastAsia="仿宋" w:cs="仿宋"/>
                <w:color w:val="auto"/>
                <w:sz w:val="21"/>
                <w:szCs w:val="21"/>
                <w:highlight w:val="none"/>
              </w:rPr>
            </w:pPr>
          </w:p>
        </w:tc>
        <w:tc>
          <w:tcPr>
            <w:tcW w:w="3180" w:type="dxa"/>
            <w:vAlign w:val="center"/>
          </w:tcPr>
          <w:p>
            <w:pPr>
              <w:pStyle w:val="28"/>
              <w:spacing w:line="360" w:lineRule="auto"/>
              <w:jc w:val="center"/>
              <w:rPr>
                <w:rFonts w:ascii="仿宋" w:hAnsi="仿宋" w:eastAsia="仿宋" w:cs="仿宋"/>
                <w:color w:val="auto"/>
                <w:sz w:val="21"/>
                <w:szCs w:val="21"/>
                <w:highlight w:val="none"/>
              </w:rPr>
            </w:pPr>
          </w:p>
        </w:tc>
        <w:tc>
          <w:tcPr>
            <w:tcW w:w="2515" w:type="dxa"/>
            <w:vAlign w:val="center"/>
          </w:tcPr>
          <w:p>
            <w:pPr>
              <w:pStyle w:val="28"/>
              <w:spacing w:line="360" w:lineRule="auto"/>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2982" w:type="dxa"/>
            <w:vAlign w:val="center"/>
          </w:tcPr>
          <w:p>
            <w:pPr>
              <w:pStyle w:val="28"/>
              <w:jc w:val="center"/>
              <w:rPr>
                <w:rFonts w:ascii="仿宋" w:hAnsi="仿宋" w:eastAsia="仿宋" w:cs="仿宋"/>
                <w:color w:val="auto"/>
                <w:sz w:val="21"/>
                <w:szCs w:val="21"/>
                <w:highlight w:val="none"/>
              </w:rPr>
            </w:pPr>
          </w:p>
        </w:tc>
        <w:tc>
          <w:tcPr>
            <w:tcW w:w="3180" w:type="dxa"/>
            <w:vAlign w:val="center"/>
          </w:tcPr>
          <w:p>
            <w:pPr>
              <w:pStyle w:val="28"/>
              <w:jc w:val="center"/>
              <w:rPr>
                <w:rFonts w:ascii="仿宋" w:hAnsi="仿宋" w:eastAsia="仿宋" w:cs="仿宋"/>
                <w:color w:val="auto"/>
                <w:sz w:val="21"/>
                <w:szCs w:val="21"/>
                <w:highlight w:val="none"/>
              </w:rPr>
            </w:pPr>
          </w:p>
        </w:tc>
        <w:tc>
          <w:tcPr>
            <w:tcW w:w="2515" w:type="dxa"/>
            <w:vAlign w:val="center"/>
          </w:tcPr>
          <w:p>
            <w:pPr>
              <w:pStyle w:val="28"/>
              <w:jc w:val="center"/>
              <w:rPr>
                <w:rFonts w:ascii="仿宋" w:hAnsi="仿宋" w:eastAsia="仿宋" w:cs="仿宋"/>
                <w:color w:val="auto"/>
                <w:sz w:val="21"/>
                <w:szCs w:val="21"/>
                <w:highlight w:val="none"/>
              </w:rPr>
            </w:pPr>
          </w:p>
        </w:tc>
      </w:tr>
    </w:tbl>
    <w:p>
      <w:pPr>
        <w:ind w:firstLine="482" w:firstLineChars="200"/>
        <w:rPr>
          <w:rFonts w:ascii="仿宋" w:hAnsi="仿宋" w:eastAsia="仿宋" w:cs="仿宋"/>
          <w:b/>
          <w:color w:val="auto"/>
          <w:sz w:val="24"/>
          <w:highlight w:val="none"/>
        </w:rPr>
      </w:pPr>
    </w:p>
    <w:p>
      <w:pPr>
        <w:spacing w:line="52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注：比选申请人按照比选文件“第四章”“技术服务要求”的全部逐项梳理填写本表。</w:t>
      </w:r>
    </w:p>
    <w:p>
      <w:pPr>
        <w:adjustRightInd w:val="0"/>
        <w:spacing w:line="400" w:lineRule="exact"/>
        <w:ind w:firstLine="480" w:firstLineChars="200"/>
        <w:jc w:val="left"/>
        <w:rPr>
          <w:rFonts w:ascii="仿宋" w:hAnsi="仿宋" w:eastAsia="仿宋" w:cs="仿宋"/>
          <w:color w:val="auto"/>
          <w:sz w:val="24"/>
          <w:highlight w:val="none"/>
        </w:rPr>
      </w:pP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pPr>
        <w:pStyle w:val="4"/>
        <w:spacing w:line="400" w:lineRule="exact"/>
        <w:jc w:val="center"/>
        <w:rPr>
          <w:rFonts w:ascii="仿宋" w:hAnsi="仿宋" w:cs="仿宋"/>
          <w:color w:val="auto"/>
          <w:sz w:val="32"/>
          <w:highlight w:val="none"/>
        </w:rPr>
      </w:pPr>
      <w:r>
        <w:rPr>
          <w:rFonts w:hint="eastAsia" w:ascii="仿宋" w:hAnsi="仿宋" w:cs="仿宋"/>
          <w:color w:val="auto"/>
          <w:sz w:val="32"/>
          <w:highlight w:val="none"/>
        </w:rPr>
        <w:t>七、商务应答表</w:t>
      </w:r>
    </w:p>
    <w:tbl>
      <w:tblPr>
        <w:tblStyle w:val="18"/>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序号</w:t>
            </w:r>
          </w:p>
        </w:tc>
        <w:tc>
          <w:tcPr>
            <w:tcW w:w="368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比选文件要求</w:t>
            </w:r>
          </w:p>
        </w:tc>
        <w:tc>
          <w:tcPr>
            <w:tcW w:w="226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 w:val="22"/>
                <w:highlight w:val="none"/>
              </w:rPr>
              <w:t>响应内容</w:t>
            </w:r>
          </w:p>
        </w:tc>
        <w:tc>
          <w:tcPr>
            <w:tcW w:w="2263" w:type="dxa"/>
            <w:vAlign w:val="center"/>
          </w:tcPr>
          <w:p>
            <w:pPr>
              <w:jc w:val="center"/>
              <w:rPr>
                <w:rFonts w:ascii="仿宋" w:hAnsi="仿宋" w:eastAsia="仿宋" w:cs="仿宋"/>
                <w:b/>
                <w:bCs/>
                <w:color w:val="auto"/>
                <w:sz w:val="22"/>
                <w:highlight w:val="none"/>
              </w:rPr>
            </w:pPr>
            <w:r>
              <w:rPr>
                <w:rFonts w:hint="eastAsia" w:ascii="仿宋" w:hAnsi="仿宋" w:eastAsia="仿宋" w:cs="仿宋"/>
                <w:b/>
                <w:bCs/>
                <w:color w:val="auto"/>
                <w:sz w:val="22"/>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spacing w:line="360" w:lineRule="auto"/>
              <w:jc w:val="center"/>
              <w:rPr>
                <w:rFonts w:ascii="仿宋" w:hAnsi="仿宋" w:eastAsia="仿宋" w:cs="仿宋"/>
                <w:color w:val="auto"/>
                <w:sz w:val="21"/>
                <w:szCs w:val="21"/>
                <w:highlight w:val="none"/>
              </w:rPr>
            </w:pPr>
          </w:p>
        </w:tc>
        <w:tc>
          <w:tcPr>
            <w:tcW w:w="2263" w:type="dxa"/>
            <w:vAlign w:val="center"/>
          </w:tcPr>
          <w:p>
            <w:pPr>
              <w:pStyle w:val="28"/>
              <w:spacing w:line="360" w:lineRule="auto"/>
              <w:jc w:val="center"/>
              <w:rPr>
                <w:rFonts w:ascii="仿宋" w:hAnsi="仿宋" w:eastAsia="仿宋" w:cs="仿宋"/>
                <w:color w:val="auto"/>
                <w:sz w:val="21"/>
                <w:szCs w:val="21"/>
                <w:highlight w:val="none"/>
              </w:rPr>
            </w:pPr>
          </w:p>
        </w:tc>
        <w:tc>
          <w:tcPr>
            <w:tcW w:w="2263" w:type="dxa"/>
            <w:vAlign w:val="center"/>
          </w:tcPr>
          <w:p>
            <w:pPr>
              <w:pStyle w:val="28"/>
              <w:spacing w:line="360" w:lineRule="auto"/>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Layout w:type="fixed"/>
          <w:tblCellMar>
            <w:top w:w="0" w:type="dxa"/>
            <w:left w:w="108" w:type="dxa"/>
            <w:bottom w:w="0" w:type="dxa"/>
            <w:right w:w="108" w:type="dxa"/>
          </w:tblCellMar>
        </w:tblPrEx>
        <w:trPr>
          <w:trHeight w:val="60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110" w:type="dxa"/>
            <w:vAlign w:val="center"/>
          </w:tcPr>
          <w:p>
            <w:pPr>
              <w:pStyle w:val="28"/>
              <w:jc w:val="center"/>
              <w:rPr>
                <w:rFonts w:ascii="仿宋" w:hAnsi="仿宋" w:eastAsia="仿宋" w:cs="仿宋"/>
                <w:color w:val="auto"/>
                <w:sz w:val="21"/>
                <w:szCs w:val="21"/>
                <w:highlight w:val="none"/>
              </w:rPr>
            </w:pPr>
          </w:p>
        </w:tc>
        <w:tc>
          <w:tcPr>
            <w:tcW w:w="3689"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c>
          <w:tcPr>
            <w:tcW w:w="2263" w:type="dxa"/>
            <w:vAlign w:val="center"/>
          </w:tcPr>
          <w:p>
            <w:pPr>
              <w:pStyle w:val="28"/>
              <w:jc w:val="center"/>
              <w:rPr>
                <w:rFonts w:ascii="仿宋" w:hAnsi="仿宋" w:eastAsia="仿宋" w:cs="仿宋"/>
                <w:color w:val="auto"/>
                <w:sz w:val="21"/>
                <w:szCs w:val="21"/>
                <w:highlight w:val="none"/>
              </w:rPr>
            </w:pPr>
          </w:p>
        </w:tc>
      </w:tr>
    </w:tbl>
    <w:p>
      <w:pPr>
        <w:pStyle w:val="23"/>
        <w:textAlignment w:val="auto"/>
        <w:outlineLvl w:val="9"/>
        <w:rPr>
          <w:rFonts w:ascii="仿宋" w:hAnsi="仿宋" w:eastAsia="仿宋" w:cs="仿宋"/>
          <w:color w:val="auto"/>
          <w:highlight w:val="none"/>
        </w:rPr>
      </w:pPr>
    </w:p>
    <w:p>
      <w:pPr>
        <w:spacing w:line="5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注：比选申请人按照比选文件“第四章”“商务要求”的全部逐项梳理填写本表。</w:t>
      </w:r>
    </w:p>
    <w:p>
      <w:pPr>
        <w:adjustRightInd w:val="0"/>
        <w:spacing w:line="400" w:lineRule="exact"/>
        <w:ind w:firstLine="480" w:firstLineChars="200"/>
        <w:jc w:val="left"/>
        <w:rPr>
          <w:rFonts w:ascii="仿宋" w:hAnsi="仿宋" w:eastAsia="仿宋" w:cs="仿宋"/>
          <w:color w:val="auto"/>
          <w:sz w:val="24"/>
          <w:highlight w:val="none"/>
        </w:rPr>
      </w:pP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rPr>
          <w:rFonts w:ascii="仿宋" w:hAnsi="仿宋" w:eastAsia="仿宋" w:cs="仿宋"/>
          <w:bCs/>
          <w:color w:val="auto"/>
          <w:sz w:val="24"/>
          <w:highlight w:val="none"/>
        </w:rPr>
      </w:pPr>
      <w:r>
        <w:rPr>
          <w:rFonts w:hint="eastAsia" w:ascii="仿宋" w:hAnsi="仿宋" w:eastAsia="仿宋" w:cs="仿宋"/>
          <w:bCs/>
          <w:color w:val="auto"/>
          <w:sz w:val="24"/>
          <w:highlight w:val="none"/>
        </w:rPr>
        <w:br w:type="page"/>
      </w:r>
    </w:p>
    <w:p>
      <w:pPr>
        <w:pStyle w:val="4"/>
        <w:spacing w:line="400" w:lineRule="exact"/>
        <w:ind w:left="210" w:leftChars="100"/>
        <w:jc w:val="center"/>
        <w:rPr>
          <w:rFonts w:ascii="仿宋" w:hAnsi="仿宋" w:cs="仿宋"/>
          <w:color w:val="auto"/>
          <w:sz w:val="32"/>
          <w:highlight w:val="none"/>
        </w:rPr>
      </w:pPr>
      <w:r>
        <w:rPr>
          <w:rFonts w:hint="eastAsia" w:ascii="仿宋" w:hAnsi="仿宋" w:cs="仿宋"/>
          <w:color w:val="auto"/>
          <w:sz w:val="32"/>
          <w:highlight w:val="none"/>
        </w:rPr>
        <w:t>八、报价一览表</w:t>
      </w:r>
    </w:p>
    <w:p>
      <w:pPr>
        <w:ind w:left="210" w:leftChars="100"/>
        <w:rPr>
          <w:rFonts w:ascii="仿宋" w:hAnsi="仿宋" w:eastAsia="仿宋" w:cs="仿宋"/>
          <w:color w:val="auto"/>
          <w:highlight w:val="none"/>
        </w:rPr>
      </w:pPr>
    </w:p>
    <w:tbl>
      <w:tblPr>
        <w:tblStyle w:val="18"/>
        <w:tblW w:w="9019" w:type="dxa"/>
        <w:tblInd w:w="0" w:type="dxa"/>
        <w:tblLayout w:type="fixed"/>
        <w:tblCellMar>
          <w:top w:w="0" w:type="dxa"/>
          <w:left w:w="108" w:type="dxa"/>
          <w:bottom w:w="0" w:type="dxa"/>
          <w:right w:w="108" w:type="dxa"/>
        </w:tblCellMar>
      </w:tblPr>
      <w:tblGrid>
        <w:gridCol w:w="1458"/>
        <w:gridCol w:w="1827"/>
        <w:gridCol w:w="1664"/>
        <w:gridCol w:w="4070"/>
      </w:tblGrid>
      <w:tr>
        <w:tblPrEx>
          <w:tblLayout w:type="fixed"/>
          <w:tblCellMar>
            <w:top w:w="0" w:type="dxa"/>
            <w:left w:w="108" w:type="dxa"/>
            <w:bottom w:w="0" w:type="dxa"/>
            <w:right w:w="108" w:type="dxa"/>
          </w:tblCellMar>
        </w:tblPrEx>
        <w:trPr>
          <w:trHeight w:val="677" w:hRule="atLeast"/>
        </w:trPr>
        <w:tc>
          <w:tcPr>
            <w:tcW w:w="145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项目名称</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成都市金牛区妇幼保健院建立2025-2027年度招标代理机构库项目</w:t>
            </w:r>
          </w:p>
        </w:tc>
      </w:tr>
      <w:tr>
        <w:tblPrEx>
          <w:tblLayout w:type="fixed"/>
          <w:tblCellMar>
            <w:top w:w="0" w:type="dxa"/>
            <w:left w:w="108" w:type="dxa"/>
            <w:bottom w:w="0" w:type="dxa"/>
            <w:right w:w="108" w:type="dxa"/>
          </w:tblCellMar>
        </w:tblPrEx>
        <w:trPr>
          <w:trHeight w:val="735" w:hRule="atLeast"/>
        </w:trPr>
        <w:tc>
          <w:tcPr>
            <w:tcW w:w="145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服务内容</w:t>
            </w:r>
          </w:p>
        </w:tc>
        <w:tc>
          <w:tcPr>
            <w:tcW w:w="16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服务时间</w:t>
            </w: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w:t>
            </w:r>
          </w:p>
        </w:tc>
      </w:tr>
      <w:tr>
        <w:tblPrEx>
          <w:tblLayout w:type="fixed"/>
          <w:tblCellMar>
            <w:top w:w="0" w:type="dxa"/>
            <w:left w:w="108" w:type="dxa"/>
            <w:bottom w:w="0" w:type="dxa"/>
            <w:right w:w="108" w:type="dxa"/>
          </w:tblCellMar>
        </w:tblPrEx>
        <w:trPr>
          <w:trHeight w:val="1087" w:hRule="atLeast"/>
        </w:trPr>
        <w:tc>
          <w:tcPr>
            <w:tcW w:w="145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2025-2027采购代理机构</w:t>
            </w:r>
          </w:p>
        </w:tc>
        <w:tc>
          <w:tcPr>
            <w:tcW w:w="16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3年</w:t>
            </w: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下浮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tc>
      </w:tr>
      <w:tr>
        <w:tblPrEx>
          <w:tblLayout w:type="fixed"/>
          <w:tblCellMar>
            <w:top w:w="0" w:type="dxa"/>
            <w:left w:w="108" w:type="dxa"/>
            <w:bottom w:w="0" w:type="dxa"/>
            <w:right w:w="108" w:type="dxa"/>
          </w:tblCellMar>
        </w:tblPrEx>
        <w:trPr>
          <w:trHeight w:val="1087" w:hRule="atLeast"/>
        </w:trPr>
        <w:tc>
          <w:tcPr>
            <w:tcW w:w="145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2025-2027采购代理机构</w:t>
            </w:r>
          </w:p>
        </w:tc>
        <w:tc>
          <w:tcPr>
            <w:tcW w:w="16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3年</w:t>
            </w: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2"/>
                <w:highlight w:val="none"/>
              </w:rPr>
              <w:t>单个代理项目的中标（成交）金额作为收费依据，按照计费标准的100%计算不足6000元按</w:t>
            </w:r>
            <w:r>
              <w:rPr>
                <w:rFonts w:ascii="仿宋" w:hAnsi="仿宋" w:eastAsia="仿宋" w:cs="仿宋"/>
                <w:color w:val="auto"/>
                <w:sz w:val="22"/>
                <w:highlight w:val="none"/>
              </w:rPr>
              <w:t>____</w:t>
            </w:r>
            <w:r>
              <w:rPr>
                <w:rFonts w:hint="eastAsia" w:ascii="仿宋" w:hAnsi="仿宋" w:eastAsia="仿宋" w:cs="仿宋"/>
                <w:color w:val="auto"/>
                <w:sz w:val="22"/>
                <w:highlight w:val="none"/>
              </w:rPr>
              <w:t>元收取。</w:t>
            </w:r>
          </w:p>
        </w:tc>
      </w:tr>
    </w:tbl>
    <w:p>
      <w:pPr>
        <w:jc w:val="left"/>
        <w:rPr>
          <w:rFonts w:ascii="仿宋" w:hAnsi="仿宋" w:eastAsia="仿宋" w:cs="仿宋"/>
          <w:color w:val="auto"/>
          <w:spacing w:val="6"/>
          <w:sz w:val="24"/>
          <w:highlight w:val="none"/>
        </w:rPr>
      </w:pPr>
    </w:p>
    <w:p>
      <w:pPr>
        <w:rPr>
          <w:rFonts w:ascii="仿宋" w:hAnsi="仿宋" w:eastAsia="仿宋" w:cs="仿宋"/>
          <w:color w:val="auto"/>
          <w:highlight w:val="none"/>
        </w:rPr>
      </w:pP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Style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以单个代理项目的中标（成交）金额作为收费依据，按照计费标准的100%，报下浮率。</w:t>
      </w:r>
    </w:p>
    <w:p>
      <w:pPr>
        <w:pStyle w:val="2"/>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单个代理项目的中标（成交）金额作为收费依据，按照计费标准的100%计算不足6000元按</w:t>
      </w:r>
      <w:r>
        <w:rPr>
          <w:rFonts w:ascii="仿宋" w:hAnsi="仿宋" w:eastAsia="仿宋" w:cs="仿宋"/>
          <w:color w:val="auto"/>
          <w:sz w:val="24"/>
          <w:szCs w:val="24"/>
          <w:highlight w:val="none"/>
        </w:rPr>
        <w:t>定额</w:t>
      </w:r>
      <w:r>
        <w:rPr>
          <w:rFonts w:hint="eastAsia" w:ascii="仿宋" w:hAnsi="仿宋" w:eastAsia="仿宋" w:cs="仿宋"/>
          <w:color w:val="auto"/>
          <w:sz w:val="24"/>
          <w:szCs w:val="24"/>
          <w:highlight w:val="none"/>
        </w:rPr>
        <w:t>收取。</w:t>
      </w:r>
    </w:p>
    <w:p>
      <w:pPr>
        <w:widowControl/>
        <w:spacing w:line="360" w:lineRule="auto"/>
        <w:ind w:firstLine="470" w:firstLineChars="196"/>
        <w:jc w:val="left"/>
        <w:rPr>
          <w:rFonts w:ascii="仿宋" w:hAnsi="仿宋" w:eastAsia="仿宋" w:cs="仿宋"/>
          <w:color w:val="auto"/>
          <w:sz w:val="24"/>
          <w:szCs w:val="24"/>
          <w:highlight w:val="none"/>
        </w:rPr>
      </w:pPr>
    </w:p>
    <w:p>
      <w:pPr>
        <w:widowControl/>
        <w:spacing w:line="360" w:lineRule="auto"/>
        <w:ind w:firstLine="470" w:firstLineChars="196"/>
        <w:jc w:val="left"/>
        <w:rPr>
          <w:rFonts w:ascii="仿宋" w:hAnsi="仿宋" w:eastAsia="仿宋" w:cs="仿宋"/>
          <w:color w:val="auto"/>
          <w:sz w:val="24"/>
          <w:szCs w:val="24"/>
          <w:highlight w:val="none"/>
        </w:rPr>
      </w:pPr>
    </w:p>
    <w:p>
      <w:pPr>
        <w:widowControl/>
        <w:spacing w:line="360" w:lineRule="auto"/>
        <w:ind w:firstLine="470" w:firstLineChars="19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比选申请人名称：XXXX（盖单位公章）</w:t>
      </w:r>
    </w:p>
    <w:p>
      <w:pPr>
        <w:widowControl/>
        <w:spacing w:line="360" w:lineRule="auto"/>
        <w:ind w:firstLine="470" w:firstLineChars="19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日    期：XXX</w:t>
      </w:r>
      <w:r>
        <w:rPr>
          <w:rFonts w:hint="eastAsia" w:ascii="仿宋" w:hAnsi="仿宋" w:eastAsia="仿宋" w:cs="仿宋"/>
          <w:color w:val="auto"/>
          <w:sz w:val="24"/>
          <w:highlight w:val="none"/>
        </w:rPr>
        <w:t>X</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pageBreakBefore/>
        <w:spacing w:line="400" w:lineRule="exact"/>
        <w:jc w:val="center"/>
        <w:rPr>
          <w:rFonts w:ascii="仿宋" w:hAnsi="仿宋" w:cs="仿宋"/>
          <w:bCs w:val="0"/>
          <w:color w:val="auto"/>
          <w:sz w:val="32"/>
          <w:highlight w:val="none"/>
        </w:rPr>
      </w:pPr>
      <w:r>
        <w:rPr>
          <w:rFonts w:hint="eastAsia" w:ascii="仿宋" w:hAnsi="仿宋" w:cs="仿宋"/>
          <w:bCs w:val="0"/>
          <w:color w:val="auto"/>
          <w:sz w:val="32"/>
          <w:highlight w:val="none"/>
        </w:rPr>
        <w:t>九、比选申请人其他需要补充的资料</w:t>
      </w:r>
    </w:p>
    <w:p>
      <w:pPr>
        <w:ind w:firstLine="562" w:firstLineChars="200"/>
        <w:rPr>
          <w:rFonts w:ascii="仿宋" w:hAnsi="仿宋" w:eastAsia="仿宋" w:cs="仿宋"/>
          <w:b/>
          <w:color w:val="auto"/>
          <w:sz w:val="28"/>
          <w:szCs w:val="28"/>
          <w:highlight w:val="none"/>
        </w:rPr>
      </w:pPr>
    </w:p>
    <w:p>
      <w:pPr>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针对比选文件的要求，比选申请人认为需要提供的其它资料。例如特殊资格条件证明材料等等</w:t>
      </w: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pPr>
        <w:jc w:val="center"/>
        <w:rPr>
          <w:rFonts w:ascii="仿宋" w:hAnsi="仿宋" w:eastAsia="仿宋" w:cs="仿宋"/>
          <w:b/>
          <w:color w:val="auto"/>
          <w:sz w:val="32"/>
          <w:szCs w:val="32"/>
          <w:highlight w:val="none"/>
        </w:rPr>
      </w:pPr>
      <w:r>
        <w:rPr>
          <w:rFonts w:hint="eastAsia" w:ascii="仿宋" w:hAnsi="仿宋" w:eastAsia="仿宋" w:cs="仿宋"/>
          <w:color w:val="auto"/>
          <w:highlight w:val="none"/>
        </w:rPr>
        <w:br w:type="page"/>
      </w:r>
      <w:bookmarkStart w:id="43" w:name="_Toc13707"/>
      <w:bookmarkStart w:id="44" w:name="_Toc31585"/>
      <w:r>
        <w:rPr>
          <w:rFonts w:hint="eastAsia" w:ascii="仿宋" w:hAnsi="仿宋" w:eastAsia="仿宋" w:cs="仿宋"/>
          <w:b/>
          <w:color w:val="auto"/>
          <w:sz w:val="32"/>
          <w:szCs w:val="32"/>
          <w:highlight w:val="none"/>
        </w:rPr>
        <w:t>十、温馨提示（本项不作为评审依据）</w:t>
      </w:r>
    </w:p>
    <w:p>
      <w:pPr>
        <w:pStyle w:val="25"/>
        <w:spacing w:line="360" w:lineRule="auto"/>
        <w:jc w:val="both"/>
        <w:rPr>
          <w:rFonts w:ascii="仿宋" w:hAnsi="仿宋" w:eastAsia="仿宋" w:cs="仿宋"/>
          <w:color w:val="auto"/>
          <w:sz w:val="28"/>
          <w:szCs w:val="28"/>
          <w:highlight w:val="none"/>
        </w:rPr>
      </w:pPr>
    </w:p>
    <w:p>
      <w:pPr>
        <w:pStyle w:val="25"/>
        <w:spacing w:line="360" w:lineRule="auto"/>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避免贵公司（响应）投标无效，作如下温馨提示：</w:t>
      </w:r>
    </w:p>
    <w:p>
      <w:pPr>
        <w:pStyle w:val="25"/>
        <w:spacing w:line="360" w:lineRule="auto"/>
        <w:ind w:firstLine="562" w:firstLineChars="200"/>
        <w:jc w:val="both"/>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一、请贵公司认真核对报价是否具有以下情形</w:t>
      </w:r>
    </w:p>
    <w:p>
      <w:pPr>
        <w:pStyle w:val="25"/>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超过第二章最高限价及第四章的单价限价（若有），或报价属于第二章“不正当竞争预防措施（实质性要求）”的情形。</w:t>
      </w:r>
    </w:p>
    <w:p>
      <w:pPr>
        <w:pStyle w:val="25"/>
        <w:spacing w:line="360" w:lineRule="auto"/>
        <w:ind w:firstLine="560" w:firstLineChars="200"/>
        <w:jc w:val="both"/>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b/>
          <w:bCs/>
          <w:color w:val="auto"/>
          <w:sz w:val="28"/>
          <w:szCs w:val="28"/>
          <w:highlight w:val="none"/>
        </w:rPr>
        <w:t>请贵公司认真核对响应是否具有以下情形</w:t>
      </w:r>
    </w:p>
    <w:p>
      <w:pPr>
        <w:pStyle w:val="25"/>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1.建议贵公司针对比选（招标）文件全文中</w:t>
      </w:r>
      <w:r>
        <w:rPr>
          <w:rFonts w:hint="eastAsia" w:ascii="仿宋" w:hAnsi="仿宋" w:eastAsia="仿宋" w:cs="仿宋"/>
          <w:b/>
          <w:bCs/>
          <w:color w:val="auto"/>
          <w:sz w:val="28"/>
          <w:szCs w:val="28"/>
          <w:highlight w:val="none"/>
        </w:rPr>
        <w:t>“实质性要求”、“无效”、（若有）标注“★”的条款、“承诺”、“商务要求”</w:t>
      </w:r>
      <w:r>
        <w:rPr>
          <w:rFonts w:hint="eastAsia" w:ascii="仿宋" w:hAnsi="仿宋" w:eastAsia="仿宋" w:cs="仿宋"/>
          <w:color w:val="auto"/>
          <w:sz w:val="28"/>
          <w:szCs w:val="28"/>
          <w:highlight w:val="none"/>
        </w:rPr>
        <w:t>等字样进行检索，再逐一核对贵公司的比选申请文件，是否按照比选文件要求进行响应，避免出现被认定无效申请文件的情形。</w:t>
      </w:r>
    </w:p>
    <w:p>
      <w:pPr>
        <w:pStyle w:val="25"/>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2.建议贵公司核实比选申请文件，是否按照比选文件要求进行</w:t>
      </w:r>
      <w:r>
        <w:rPr>
          <w:rFonts w:hint="eastAsia" w:ascii="仿宋" w:hAnsi="仿宋" w:eastAsia="仿宋" w:cs="仿宋"/>
          <w:b/>
          <w:bCs/>
          <w:color w:val="auto"/>
          <w:sz w:val="28"/>
          <w:szCs w:val="28"/>
          <w:highlight w:val="none"/>
        </w:rPr>
        <w:t>签字、盖章</w:t>
      </w:r>
      <w:r>
        <w:rPr>
          <w:rFonts w:hint="eastAsia" w:ascii="仿宋" w:hAnsi="仿宋" w:eastAsia="仿宋" w:cs="仿宋"/>
          <w:color w:val="auto"/>
          <w:sz w:val="28"/>
          <w:szCs w:val="28"/>
          <w:highlight w:val="none"/>
        </w:rPr>
        <w:t>。避免出现被认定无效申请文件的情形。</w:t>
      </w:r>
    </w:p>
    <w:p>
      <w:pPr>
        <w:pStyle w:val="2"/>
        <w:spacing w:after="0" w:line="360" w:lineRule="auto"/>
        <w:jc w:val="righ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成都市金牛区妇幼保健院</w:t>
      </w:r>
    </w:p>
    <w:p>
      <w:pPr>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pStyle w:val="3"/>
        <w:spacing w:before="0" w:after="0" w:line="240" w:lineRule="auto"/>
        <w:jc w:val="center"/>
        <w:rPr>
          <w:rFonts w:ascii="仿宋" w:hAnsi="仿宋" w:eastAsia="仿宋" w:cs="仿宋"/>
          <w:color w:val="auto"/>
          <w:sz w:val="36"/>
          <w:szCs w:val="36"/>
          <w:highlight w:val="none"/>
        </w:rPr>
      </w:pPr>
      <w:bookmarkStart w:id="45" w:name="_Toc10998"/>
      <w:bookmarkStart w:id="46" w:name="_Toc22171"/>
      <w:r>
        <w:rPr>
          <w:rFonts w:hint="eastAsia" w:ascii="仿宋" w:hAnsi="仿宋" w:eastAsia="仿宋" w:cs="仿宋"/>
          <w:color w:val="auto"/>
          <w:sz w:val="36"/>
          <w:szCs w:val="36"/>
          <w:highlight w:val="none"/>
        </w:rPr>
        <w:t>第七章 采购合同条款（草案）</w:t>
      </w:r>
      <w:bookmarkEnd w:id="43"/>
      <w:bookmarkEnd w:id="44"/>
      <w:bookmarkEnd w:id="45"/>
      <w:bookmarkEnd w:id="46"/>
    </w:p>
    <w:p>
      <w:pPr>
        <w:spacing w:line="480" w:lineRule="exact"/>
        <w:rPr>
          <w:rFonts w:ascii="仿宋" w:hAnsi="仿宋" w:eastAsia="仿宋" w:cs="仿宋"/>
          <w:color w:val="auto"/>
          <w:sz w:val="28"/>
          <w:highlight w:val="none"/>
        </w:rPr>
      </w:pP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合同编号： </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签订地点：</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签订时间：      年   月   日。</w:t>
      </w:r>
    </w:p>
    <w:p>
      <w:pPr>
        <w:snapToGrid w:val="0"/>
        <w:spacing w:line="360" w:lineRule="auto"/>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采购人（甲方）：</w:t>
      </w:r>
      <w:r>
        <w:rPr>
          <w:rFonts w:hint="eastAsia" w:ascii="仿宋" w:hAnsi="仿宋" w:eastAsia="仿宋" w:cs="仿宋"/>
          <w:b/>
          <w:bCs/>
          <w:color w:val="auto"/>
          <w:sz w:val="24"/>
          <w:highlight w:val="none"/>
          <w:u w:val="single"/>
        </w:rPr>
        <w:t xml:space="preserve">                              </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供应商（乙方）：</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rPr>
          <w:rFonts w:ascii="仿宋" w:hAnsi="仿宋" w:eastAsia="仿宋" w:cs="仿宋"/>
          <w:color w:val="auto"/>
          <w:sz w:val="24"/>
          <w:highlight w:val="none"/>
        </w:rPr>
      </w:pP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依据《中华人民共和国民法典》与项目行业有关的法律法规，以及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采购项目的《比选文件》，乙方的《比选申请文件》及《成交通知书》，甲、乙双方同意签订本合同。详细技术说明及其他有关合同项目的特定信息由合同附件予以说明，合同附件及本项目的《比选文件》、《比选申请文件》、《成交通知书》等均为本合同的组成部分。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第一条 项目基本情况</w:t>
      </w:r>
    </w:p>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__________________________________________。 </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bCs/>
          <w:color w:val="auto"/>
          <w:sz w:val="24"/>
          <w:highlight w:val="none"/>
        </w:rPr>
        <w:t xml:space="preserve">第二条 </w:t>
      </w:r>
      <w:r>
        <w:rPr>
          <w:rFonts w:hint="eastAsia" w:ascii="仿宋" w:hAnsi="仿宋" w:eastAsia="仿宋" w:cs="仿宋"/>
          <w:b/>
          <w:color w:val="auto"/>
          <w:sz w:val="24"/>
          <w:highlight w:val="none"/>
        </w:rPr>
        <w:t>合同期限</w:t>
      </w:r>
    </w:p>
    <w:p>
      <w:pPr>
        <w:snapToGrid w:val="0"/>
        <w:spacing w:line="360" w:lineRule="auto"/>
        <w:rPr>
          <w:rFonts w:ascii="仿宋" w:hAnsi="仿宋" w:eastAsia="仿宋" w:cs="仿宋"/>
          <w:color w:val="auto"/>
          <w:sz w:val="24"/>
          <w:highlight w:val="none"/>
        </w:rPr>
      </w:pPr>
      <w:bookmarkStart w:id="47" w:name="_Toc251768862"/>
      <w:bookmarkStart w:id="48" w:name="_Toc241833903"/>
      <w:bookmarkStart w:id="49" w:name="_Toc283019214"/>
      <w:bookmarkStart w:id="50" w:name="_Toc282696226"/>
      <w:bookmarkStart w:id="51" w:name="_Toc239568418"/>
      <w:bookmarkStart w:id="52" w:name="_Toc212019594"/>
      <w:bookmarkStart w:id="53" w:name="_Toc232492928"/>
      <w:bookmarkStart w:id="54" w:name="_Toc225244852"/>
      <w:bookmarkStart w:id="55" w:name="_Toc185395249"/>
      <w:bookmarkStart w:id="56" w:name="_Toc225670751"/>
      <w:bookmarkStart w:id="57" w:name="_Toc211911348"/>
      <w:bookmarkStart w:id="58" w:name="_Toc247334841"/>
      <w:bookmarkStart w:id="59" w:name="_Toc237145406"/>
      <w:bookmarkStart w:id="60" w:name="_Toc238984975"/>
      <w:bookmarkStart w:id="61" w:name="_Toc239233914"/>
      <w:bookmarkStart w:id="62" w:name="_Toc286993786"/>
      <w:bookmarkStart w:id="63" w:name="_Toc211854449"/>
      <w:bookmarkStart w:id="64" w:name="_Toc225654644"/>
      <w:r>
        <w:rPr>
          <w:rFonts w:hint="eastAsia" w:ascii="仿宋" w:hAnsi="仿宋" w:eastAsia="仿宋" w:cs="仿宋"/>
          <w:color w:val="auto"/>
          <w:sz w:val="24"/>
          <w:highlight w:val="none"/>
        </w:rPr>
        <w:t>__________________________________________。</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第三条 服务内容与质量标准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__________________________________________。</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第四条 服务费用及支付方式</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（一）本项目服务费用由以下组成：</w:t>
      </w:r>
    </w:p>
    <w:p>
      <w:pPr>
        <w:pStyle w:val="29"/>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w:t>
      </w:r>
    </w:p>
    <w:p>
      <w:pPr>
        <w:pStyle w:val="29"/>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w:t>
      </w:r>
    </w:p>
    <w:p>
      <w:pPr>
        <w:pStyle w:val="29"/>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w:t>
      </w:r>
    </w:p>
    <w:p>
      <w:pPr>
        <w:tabs>
          <w:tab w:val="left" w:pos="780"/>
        </w:tabs>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（二）服务费支付方式：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__________________________________________。</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第五条 知识产权</w:t>
      </w:r>
    </w:p>
    <w:p>
      <w:pPr>
        <w:tabs>
          <w:tab w:val="left" w:pos="144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第六条 无产权瑕疵条款</w:t>
      </w:r>
    </w:p>
    <w:p>
      <w:pPr>
        <w:tabs>
          <w:tab w:val="left" w:pos="144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第七条 履约保证金</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szCs w:val="24"/>
          <w:highlight w:val="none"/>
          <w:lang w:val="zh-CN"/>
        </w:rPr>
        <w:t>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highlight w:val="none"/>
        </w:rPr>
        <w:t>。</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2、履约保证金退还方式及时间：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3、履约保证金不予退还情形：</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（1）乙方不履行与甲方订立的合同的，给甲方造成的损失超过履约保证金数额的，还应当对超过部分予以赔偿；</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（2）项目验收结果不合格的；</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（3）其他违反国家相关法律法规的情形；</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（4）采购文件中规定不予退还的情形。</w:t>
      </w:r>
    </w:p>
    <w:p>
      <w:pPr>
        <w:adjustRightInd w:val="0"/>
        <w:snapToGrid w:val="0"/>
        <w:spacing w:line="360" w:lineRule="auto"/>
        <w:ind w:firstLine="480" w:firstLineChars="200"/>
        <w:jc w:val="left"/>
        <w:textAlignment w:val="baseline"/>
        <w:rPr>
          <w:rFonts w:ascii="仿宋" w:hAnsi="仿宋" w:eastAsia="仿宋" w:cs="仿宋"/>
          <w:b/>
          <w:color w:val="auto"/>
          <w:sz w:val="24"/>
          <w:highlight w:val="none"/>
        </w:rPr>
      </w:pPr>
      <w:r>
        <w:rPr>
          <w:rFonts w:hint="eastAsia" w:ascii="仿宋" w:hAnsi="仿宋" w:eastAsia="仿宋" w:cs="仿宋"/>
          <w:bCs/>
          <w:color w:val="auto"/>
          <w:sz w:val="24"/>
          <w:highlight w:val="none"/>
        </w:rPr>
        <w:t>4、履约保证金不予退还的，将按照有关规定上缴国库。逾期退还履约保证金的，将依法承担法律责任。</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第八条 甲方的权利和义务</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第九条 乙方的权利和义务</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pPr>
        <w:adjustRightInd w:val="0"/>
        <w:snapToGrid w:val="0"/>
        <w:spacing w:line="36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接受项目行业管理部门及有关部门的指导，接受甲方的监督。</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6、严格完全根据甲方比选文件要求及乙方比选申请文件响应的其他承诺及服务进行履约。</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第十条 违约责任</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1、甲乙双方必须遵守本合同并执行合同中的各项规定，保证本合同的正常履行。</w:t>
      </w:r>
    </w:p>
    <w:p>
      <w:pPr>
        <w:adjustRightInd w:val="0"/>
        <w:snapToGri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第十一条 不可抗力事件处理</w:t>
      </w:r>
    </w:p>
    <w:p>
      <w:pPr>
        <w:tabs>
          <w:tab w:val="left" w:pos="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tabs>
          <w:tab w:val="left" w:pos="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tabs>
          <w:tab w:val="left" w:pos="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天以上，双方应通过友好协商，确定是否继续履行合同。</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Pr>
        <w:pStyle w:val="32"/>
        <w:adjustRightInd w:val="0"/>
        <w:snapToGrid w:val="0"/>
        <w:spacing w:line="360" w:lineRule="auto"/>
        <w:ind w:firstLine="0" w:firstLineChars="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 解决合同纠纷的方式</w:t>
      </w:r>
    </w:p>
    <w:p>
      <w:pPr>
        <w:pStyle w:val="3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1、在执行本合同中发生的或与本合同有关的争端，双方应通过友好协商解决，协商不成的，任何一方均有权向甲方所在人民法院起诉。</w:t>
      </w:r>
    </w:p>
    <w:p>
      <w:pPr>
        <w:pStyle w:val="3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2、诉讼期间，除合同有争议部分外，合同其他部分继续执行。</w:t>
      </w:r>
    </w:p>
    <w:p>
      <w:pPr>
        <w:pStyle w:val="32"/>
        <w:adjustRightInd w:val="0"/>
        <w:snapToGrid w:val="0"/>
        <w:spacing w:line="360" w:lineRule="auto"/>
        <w:ind w:firstLine="0" w:firstLineChars="0"/>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合同生效及其他</w:t>
      </w:r>
    </w:p>
    <w:p>
      <w:pPr>
        <w:pStyle w:val="3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1、合同经双方法定代表人或授权委托代理人签字或加盖单位公章后生效。</w:t>
      </w:r>
    </w:p>
    <w:p>
      <w:pPr>
        <w:pStyle w:val="3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2、合同执行中涉及采购资金和采购内容修改或补充的，须经采购监管部门审批，方可作为主合同不可分割的一部分。</w:t>
      </w:r>
    </w:p>
    <w:p>
      <w:pPr>
        <w:pStyle w:val="32"/>
        <w:adjustRightInd w:val="0"/>
        <w:snapToGrid w:val="0"/>
        <w:spacing w:line="360" w:lineRule="auto"/>
        <w:ind w:firstLine="480"/>
        <w:rPr>
          <w:rFonts w:ascii="仿宋" w:hAnsi="仿宋" w:eastAsia="仿宋" w:cs="仿宋"/>
          <w:color w:val="auto"/>
          <w:highlight w:val="none"/>
        </w:rPr>
      </w:pPr>
      <w:r>
        <w:rPr>
          <w:rFonts w:hint="eastAsia" w:ascii="仿宋" w:hAnsi="仿宋" w:eastAsia="仿宋" w:cs="仿宋"/>
          <w:color w:val="auto"/>
          <w:sz w:val="24"/>
          <w:szCs w:val="24"/>
          <w:highlight w:val="none"/>
        </w:rPr>
        <w:t>3、本合同一式4份，自双方签章之日起起效。甲方2份，乙方2份，具有同等法律效力。</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Cs/>
          <w:color w:val="auto"/>
          <w:sz w:val="24"/>
          <w:highlight w:val="none"/>
        </w:rPr>
        <w:t xml:space="preserve">（盖章）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乙方：</w:t>
      </w:r>
      <w:r>
        <w:rPr>
          <w:rFonts w:hint="eastAsia" w:ascii="仿宋" w:hAnsi="仿宋" w:eastAsia="仿宋" w:cs="仿宋"/>
          <w:bCs/>
          <w:color w:val="auto"/>
          <w:sz w:val="24"/>
          <w:highlight w:val="none"/>
        </w:rPr>
        <w:t xml:space="preserve"> （盖章）</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法定代表人（授权代表）：</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法定代表人（授权代表）：</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地    址：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地    址：</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开户银行：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开户银行：</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 xml:space="preserve">账号：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账号：</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纳税人识别号：</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纳税人识别号：</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项目联系人：</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项目联系人：</w:t>
      </w:r>
    </w:p>
    <w:p>
      <w:pPr>
        <w:snapToGrid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电    话：</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电    话：</w:t>
      </w:r>
    </w:p>
    <w:p>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 xml:space="preserve">XXXX年XX月XX日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XXXX年XX月XX日</w:t>
      </w:r>
    </w:p>
    <w:sectPr>
      <w:headerReference r:id="rId3" w:type="default"/>
      <w:footerReference r:id="rId4" w:type="default"/>
      <w:pgSz w:w="11906" w:h="16838"/>
      <w:pgMar w:top="1440" w:right="1474" w:bottom="1440" w:left="1474" w:header="102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13831E5-6FDF-424A-9BCB-822BEF1A2D9C}"/>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6B6BE"/>
    <w:multiLevelType w:val="singleLevel"/>
    <w:tmpl w:val="A116B6BE"/>
    <w:lvl w:ilvl="0" w:tentative="0">
      <w:start w:val="1"/>
      <w:numFmt w:val="decimal"/>
      <w:suff w:val="nothing"/>
      <w:lvlText w:val="%1、"/>
      <w:lvlJc w:val="left"/>
    </w:lvl>
  </w:abstractNum>
  <w:abstractNum w:abstractNumId="1">
    <w:nsid w:val="A3ED5591"/>
    <w:multiLevelType w:val="singleLevel"/>
    <w:tmpl w:val="A3ED5591"/>
    <w:lvl w:ilvl="0" w:tentative="0">
      <w:start w:val="1"/>
      <w:numFmt w:val="decimal"/>
      <w:suff w:val="nothing"/>
      <w:lvlText w:val="（%1）"/>
      <w:lvlJc w:val="left"/>
    </w:lvl>
  </w:abstractNum>
  <w:abstractNum w:abstractNumId="2">
    <w:nsid w:val="FB7CB1DC"/>
    <w:multiLevelType w:val="singleLevel"/>
    <w:tmpl w:val="FB7CB1DC"/>
    <w:lvl w:ilvl="0" w:tentative="0">
      <w:start w:val="1"/>
      <w:numFmt w:val="decimal"/>
      <w:lvlText w:val="%1)"/>
      <w:lvlJc w:val="left"/>
      <w:pPr>
        <w:ind w:left="425" w:hanging="425"/>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Mjg4M2FlMTAxYTZmNzMyYTVlYWZiMjUzNmJhNWUifQ=="/>
  </w:docVars>
  <w:rsids>
    <w:rsidRoot w:val="00667310"/>
    <w:rsid w:val="002836F9"/>
    <w:rsid w:val="00500948"/>
    <w:rsid w:val="005C1603"/>
    <w:rsid w:val="00667310"/>
    <w:rsid w:val="00690150"/>
    <w:rsid w:val="00934255"/>
    <w:rsid w:val="00F44F67"/>
    <w:rsid w:val="0147556B"/>
    <w:rsid w:val="025A0E38"/>
    <w:rsid w:val="027D4ED7"/>
    <w:rsid w:val="0318736F"/>
    <w:rsid w:val="04C55775"/>
    <w:rsid w:val="04FD1F03"/>
    <w:rsid w:val="057842F1"/>
    <w:rsid w:val="06254CE3"/>
    <w:rsid w:val="066C55B7"/>
    <w:rsid w:val="0687062B"/>
    <w:rsid w:val="06DC7921"/>
    <w:rsid w:val="076E6701"/>
    <w:rsid w:val="07F436D4"/>
    <w:rsid w:val="085F4AA7"/>
    <w:rsid w:val="0B171E04"/>
    <w:rsid w:val="0C4A4D46"/>
    <w:rsid w:val="0CB01F3A"/>
    <w:rsid w:val="0CC21995"/>
    <w:rsid w:val="0D9F6EB0"/>
    <w:rsid w:val="0DA6764C"/>
    <w:rsid w:val="0DF30B86"/>
    <w:rsid w:val="0E974360"/>
    <w:rsid w:val="0F8B3941"/>
    <w:rsid w:val="108160EB"/>
    <w:rsid w:val="116310E2"/>
    <w:rsid w:val="118A060B"/>
    <w:rsid w:val="11CE5393"/>
    <w:rsid w:val="11D2035D"/>
    <w:rsid w:val="11F95A5E"/>
    <w:rsid w:val="12C7072D"/>
    <w:rsid w:val="16663DF1"/>
    <w:rsid w:val="169121E1"/>
    <w:rsid w:val="17053ECB"/>
    <w:rsid w:val="175E0F34"/>
    <w:rsid w:val="182B762C"/>
    <w:rsid w:val="190055BB"/>
    <w:rsid w:val="196F23A2"/>
    <w:rsid w:val="19CE2213"/>
    <w:rsid w:val="19E93606"/>
    <w:rsid w:val="1AA6736E"/>
    <w:rsid w:val="1BF019B7"/>
    <w:rsid w:val="1CCB00D9"/>
    <w:rsid w:val="1EC97FE1"/>
    <w:rsid w:val="1F9F397E"/>
    <w:rsid w:val="20A507E4"/>
    <w:rsid w:val="2120725A"/>
    <w:rsid w:val="212942C0"/>
    <w:rsid w:val="22213995"/>
    <w:rsid w:val="22FC62D2"/>
    <w:rsid w:val="250B6608"/>
    <w:rsid w:val="27C043C5"/>
    <w:rsid w:val="27F25E6C"/>
    <w:rsid w:val="292D49E3"/>
    <w:rsid w:val="294835A3"/>
    <w:rsid w:val="2B381D70"/>
    <w:rsid w:val="2D7A3014"/>
    <w:rsid w:val="2D872B3B"/>
    <w:rsid w:val="2DD70EAB"/>
    <w:rsid w:val="2E8B5BEA"/>
    <w:rsid w:val="2F602927"/>
    <w:rsid w:val="32954F33"/>
    <w:rsid w:val="3380254E"/>
    <w:rsid w:val="338D6C64"/>
    <w:rsid w:val="35004298"/>
    <w:rsid w:val="35516255"/>
    <w:rsid w:val="355E0625"/>
    <w:rsid w:val="365D3BDA"/>
    <w:rsid w:val="37115CF0"/>
    <w:rsid w:val="37736B39"/>
    <w:rsid w:val="37E5708A"/>
    <w:rsid w:val="381E3562"/>
    <w:rsid w:val="38782378"/>
    <w:rsid w:val="3A226994"/>
    <w:rsid w:val="3AA652DB"/>
    <w:rsid w:val="3BD30AFA"/>
    <w:rsid w:val="3C0B6BBF"/>
    <w:rsid w:val="3D011EDD"/>
    <w:rsid w:val="3E121692"/>
    <w:rsid w:val="3E3F1D93"/>
    <w:rsid w:val="3F1955BD"/>
    <w:rsid w:val="3F9E326F"/>
    <w:rsid w:val="401525A6"/>
    <w:rsid w:val="405A7C8A"/>
    <w:rsid w:val="40FC719C"/>
    <w:rsid w:val="42404F2E"/>
    <w:rsid w:val="433344A3"/>
    <w:rsid w:val="435273B3"/>
    <w:rsid w:val="445B51E7"/>
    <w:rsid w:val="44B244EA"/>
    <w:rsid w:val="4660509C"/>
    <w:rsid w:val="466D1074"/>
    <w:rsid w:val="495E12DA"/>
    <w:rsid w:val="49B75AA8"/>
    <w:rsid w:val="4BC222B5"/>
    <w:rsid w:val="4C144B69"/>
    <w:rsid w:val="4C792A48"/>
    <w:rsid w:val="4E2905D4"/>
    <w:rsid w:val="4F37166E"/>
    <w:rsid w:val="53EB2701"/>
    <w:rsid w:val="54B9195D"/>
    <w:rsid w:val="552B69A4"/>
    <w:rsid w:val="55A023AA"/>
    <w:rsid w:val="55A74611"/>
    <w:rsid w:val="568E7AA7"/>
    <w:rsid w:val="5827156E"/>
    <w:rsid w:val="584B3834"/>
    <w:rsid w:val="58BC54DF"/>
    <w:rsid w:val="59866FAF"/>
    <w:rsid w:val="5AD60754"/>
    <w:rsid w:val="5CF16D4F"/>
    <w:rsid w:val="5E093553"/>
    <w:rsid w:val="5EC9125A"/>
    <w:rsid w:val="606D4506"/>
    <w:rsid w:val="60E1488B"/>
    <w:rsid w:val="61951742"/>
    <w:rsid w:val="61F75E18"/>
    <w:rsid w:val="62C60ED0"/>
    <w:rsid w:val="63572C78"/>
    <w:rsid w:val="64532EF8"/>
    <w:rsid w:val="65224494"/>
    <w:rsid w:val="657E6F60"/>
    <w:rsid w:val="65DC2D1D"/>
    <w:rsid w:val="68833E27"/>
    <w:rsid w:val="68B36FA8"/>
    <w:rsid w:val="6940307B"/>
    <w:rsid w:val="696060CB"/>
    <w:rsid w:val="6AAA5E09"/>
    <w:rsid w:val="6AE84F10"/>
    <w:rsid w:val="6BE54BDD"/>
    <w:rsid w:val="6C5775A1"/>
    <w:rsid w:val="6F595A6E"/>
    <w:rsid w:val="6F99266C"/>
    <w:rsid w:val="6FEA072C"/>
    <w:rsid w:val="708A15C7"/>
    <w:rsid w:val="711A0EFD"/>
    <w:rsid w:val="71AF2F6E"/>
    <w:rsid w:val="726A5CD3"/>
    <w:rsid w:val="728C61A3"/>
    <w:rsid w:val="72FF05BF"/>
    <w:rsid w:val="7364757F"/>
    <w:rsid w:val="73DE1983"/>
    <w:rsid w:val="759A5F7F"/>
    <w:rsid w:val="75B570E6"/>
    <w:rsid w:val="76EF5B85"/>
    <w:rsid w:val="78775552"/>
    <w:rsid w:val="78BE1E4C"/>
    <w:rsid w:val="792C7708"/>
    <w:rsid w:val="7A325EDE"/>
    <w:rsid w:val="7A4B7BF6"/>
    <w:rsid w:val="7AF85601"/>
    <w:rsid w:val="7B9E5053"/>
    <w:rsid w:val="7CBA10FF"/>
    <w:rsid w:val="7D221505"/>
    <w:rsid w:val="7DF15C19"/>
    <w:rsid w:val="7E5A70AB"/>
    <w:rsid w:val="7EC34622"/>
    <w:rsid w:val="7EFA6374"/>
    <w:rsid w:val="7F79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qFormat/>
    <w:uiPriority w:val="0"/>
    <w:pPr>
      <w:keepNext/>
      <w:keepLines/>
      <w:spacing w:before="120" w:after="120"/>
      <w:outlineLvl w:val="2"/>
    </w:pPr>
    <w:rPr>
      <w:rFonts w:eastAsia="仿宋"/>
      <w:b/>
      <w:sz w:val="30"/>
    </w:rPr>
  </w:style>
  <w:style w:type="character" w:default="1" w:styleId="20">
    <w:name w:val="Default Paragraph Font"/>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link w:val="36"/>
    <w:qFormat/>
    <w:uiPriority w:val="0"/>
    <w:pPr>
      <w:jc w:val="left"/>
    </w:pPr>
  </w:style>
  <w:style w:type="paragraph" w:styleId="9">
    <w:name w:val="Body Text Indent 2"/>
    <w:basedOn w:val="1"/>
    <w:qFormat/>
    <w:uiPriority w:val="0"/>
    <w:pPr>
      <w:ind w:firstLine="630"/>
    </w:pPr>
    <w:rPr>
      <w:sz w:val="32"/>
    </w:rPr>
  </w:style>
  <w:style w:type="paragraph" w:styleId="10">
    <w:name w:val="Balloon Text"/>
    <w:basedOn w:val="1"/>
    <w:link w:val="3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Subtitle"/>
    <w:basedOn w:val="1"/>
    <w:next w:val="1"/>
    <w:qFormat/>
    <w:uiPriority w:val="0"/>
    <w:rPr>
      <w:sz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annotation subject"/>
    <w:basedOn w:val="8"/>
    <w:next w:val="8"/>
    <w:link w:val="37"/>
    <w:qFormat/>
    <w:uiPriority w:val="0"/>
    <w:rPr>
      <w:b/>
      <w:bCs/>
    </w:rPr>
  </w:style>
  <w:style w:type="paragraph" w:styleId="17">
    <w:name w:val="Body Text First Indent"/>
    <w:basedOn w:val="2"/>
    <w:qFormat/>
    <w:uiPriority w:val="0"/>
    <w:pPr>
      <w:spacing w:line="360" w:lineRule="auto"/>
      <w:ind w:firstLine="420"/>
    </w:pPr>
    <w:rPr>
      <w:rFonts w:ascii="宋体" w:hAnsi="宋体"/>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表格"/>
    <w:basedOn w:val="1"/>
    <w:qFormat/>
    <w:uiPriority w:val="0"/>
    <w:pPr>
      <w:spacing w:line="400" w:lineRule="exact"/>
    </w:pPr>
    <w:rPr>
      <w:sz w:val="24"/>
      <w:szCs w:val="24"/>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列出段落1"/>
    <w:basedOn w:val="1"/>
    <w:qFormat/>
    <w:uiPriority w:val="0"/>
    <w:pPr>
      <w:ind w:firstLine="420" w:firstLineChars="200"/>
    </w:pPr>
    <w:rPr>
      <w:szCs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styleId="32">
    <w:name w:val="List Paragraph"/>
    <w:basedOn w:val="1"/>
    <w:qFormat/>
    <w:uiPriority w:val="34"/>
    <w:pPr>
      <w:ind w:firstLine="420" w:firstLineChars="200"/>
    </w:pPr>
  </w:style>
  <w:style w:type="paragraph" w:customStyle="1" w:styleId="3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3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正文首行缩进两字符"/>
    <w:basedOn w:val="1"/>
    <w:qFormat/>
    <w:uiPriority w:val="0"/>
    <w:pPr>
      <w:spacing w:line="360" w:lineRule="auto"/>
      <w:ind w:firstLine="200" w:firstLineChars="200"/>
    </w:pPr>
  </w:style>
  <w:style w:type="character" w:customStyle="1" w:styleId="36">
    <w:name w:val="批注文字 Char"/>
    <w:basedOn w:val="20"/>
    <w:link w:val="8"/>
    <w:qFormat/>
    <w:uiPriority w:val="0"/>
    <w:rPr>
      <w:rFonts w:asciiTheme="minorHAnsi" w:hAnsiTheme="minorHAnsi" w:eastAsiaTheme="minorEastAsia" w:cstheme="minorBidi"/>
      <w:kern w:val="2"/>
      <w:sz w:val="21"/>
      <w:szCs w:val="22"/>
    </w:rPr>
  </w:style>
  <w:style w:type="character" w:customStyle="1" w:styleId="37">
    <w:name w:val="批注主题 Char"/>
    <w:basedOn w:val="36"/>
    <w:link w:val="16"/>
    <w:qFormat/>
    <w:uiPriority w:val="0"/>
    <w:rPr>
      <w:rFonts w:asciiTheme="minorHAnsi" w:hAnsiTheme="minorHAnsi" w:eastAsiaTheme="minorEastAsia" w:cstheme="minorBidi"/>
      <w:b/>
      <w:bCs/>
      <w:kern w:val="2"/>
      <w:sz w:val="21"/>
      <w:szCs w:val="22"/>
    </w:rPr>
  </w:style>
  <w:style w:type="character" w:customStyle="1" w:styleId="38">
    <w:name w:val="批注框文本 Char"/>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44</Pages>
  <Words>20415</Words>
  <Characters>21271</Characters>
  <Lines>165</Lines>
  <Paragraphs>46</Paragraphs>
  <TotalTime>0</TotalTime>
  <ScaleCrop>false</ScaleCrop>
  <LinksUpToDate>false</LinksUpToDate>
  <CharactersWithSpaces>21849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2024-12-10T02:24:00Z</dcterms:created>
  <dc:creator>Administrator</dc:creator>
  <cp:lastModifiedBy>們泊冬吴@^_^</cp:lastModifiedBy>
  <dcterms:modified xsi:type="dcterms:W3CDTF">2024-12-19T08:04:21Z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292333FAC3DF4479B1491567824344D0_13</vt:lpwstr>
  </property>
</Properties>
</file>