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38"/>
        <w:gridCol w:w="570"/>
        <w:gridCol w:w="864"/>
        <w:gridCol w:w="864"/>
        <w:gridCol w:w="4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  <w:t>包号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  <w:t>设备名称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  <w:t>数量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  <w:t>单价最高限价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  <w:t>总价最高限价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6"/>
                <w:szCs w:val="16"/>
                <w:lang w:val="en-US" w:eastAsia="zh-CN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01包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中药熏蒸治疗仪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2台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3万元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6万元</w:t>
            </w:r>
          </w:p>
        </w:tc>
        <w:tc>
          <w:tcPr>
            <w:tcW w:w="45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定时时间：1-99min任意可调，连续工作时间≥8h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温度显示范围：0℃-150℃，显示精度±1℃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 xml:space="preserve">压力调节范围：20-35KPa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熏蒸锅容积：8L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（二）性能要求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两种工作模式可任意设定（即常规模式、强弱模式）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液晶屏显示仪器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bookmarkStart w:id="0" w:name="_Hlk40965802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熏蒸容器具有≥六重安全防护装置</w:t>
            </w:r>
          </w:p>
          <w:bookmarkEnd w:id="0"/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具有超温、超压、缺水保护并具有声响提示，多重保护措施，使仪器工作过程更加安全。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熏蒸容器内设置具有多节可拆卸的过滤蒸汽输出装置，防止药渣进入，堵塞蒸汽管道；蒸汽输出装置可拆卸，方便清洗药垢。（提供产品图片证明文件）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bookmarkStart w:id="1" w:name="_Hlk40965879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翻盖0～90°范围内任意悬停</w:t>
            </w:r>
            <w:bookmarkEnd w:id="1"/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bookmarkStart w:id="2" w:name="_Hlk40965935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熏蒸容器采用外置式一体成型加热器。</w:t>
            </w:r>
          </w:p>
          <w:bookmarkEnd w:id="2"/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喷头配有安全隔离罩，使病人和喷嘴之间保持安全距离，防止烫伤。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配置自动、手动两种排废液方式（提供产品图片证明文件）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多角度治疗：三维万向旋转臂杆，360°旋转喷头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具有浓度检测功能（提供产品图片证明文件）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  <w14:ligatures w14:val="standardContextual"/>
              </w:rPr>
              <w:t>熏蒸仪翻盖具有自动安全锁（提供产品图片证明文件）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02包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红外光艾灸治疗机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2.5万元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2.5万元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1、安全类型：I类，B型；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2、电源：AC220V  频率：50Hz；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3、额定输入功率：1500VA；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4、主机外形尺寸：长455mm，宽405mm，高980mm，允差±100mm；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5、治疗头尺寸：直径200mm，高度400mm，允差±30mm；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6、支架高度调节范围：460mm～1400mm，允差±30mm；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7、显示方式：数码管显示；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8、红外光波长范围580nm～1050nm；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9、红外光治疗光功率输出最大10W，允差±2W；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10、红外光光疗档位1-3档可调；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11、光疗频率6档可调：on、60Hz、50Hz、25Hz、10Hz、5Hz，其中on为常亮；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12、艾灸加热温度100℃—160℃可调，允差±10℃，级差10℃；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13、工作时间1min-99min可调，级差1min，允差±60s，开机默认30min；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14、艾灸装置温度保护功能：设备具有两路独立的温度保护装置，当达到治疗温度时，第一路保护装置动作，切断加热输入。当第一路保护装置失效时，治疗温度超过60℃，第二路保护装置动作切断加热电源；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15、连续工作时间应不少于4小时；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16、治疗温度不超过60℃；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17、工作噪音≤60dB(A)；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18、具有防倾倒保护功能；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温热艾灸治疗仪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2.5万元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2.5万元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1、温热功能----红外，可控恒温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2、无烟燃烧功能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3、区域性穴位刺激功能---红光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4、360度立体旋转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5、诊断功能：5分钟检测：手心脚心出汗，表示经络通畅。30分钟检测：手心脚心出汗，全身发热即寒湿不重。全身无汗无发热，寒湿过重。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6、适应症：肩部僵硬、末梢神经麻痹、神经痛、腿部酸痛、免疫力低下、全身疲劳、胃痛、重感冒、颈椎间脖子痛、肩周炎、牙痛、高血压、脂肪肝、中风、低血压、减肥瘦身、失眠、精力减退、性机能衰弱、月经不调、男士前列腺等调理等功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03包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微波治疗仪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5万元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5万元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1.输入电压：220V±15%。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2.整机功耗：≤850VA。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3.工作频率：2450MHz±50MHz。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4.波长：≤12.2cm。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5.工作方式：连续、脉冲输出。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6.治疗时间：理疗模式1-30分钟可调，手术模式1-99秒可调。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7.辐射器驻波比：S≤2.0。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8.微波输出功率：手术模式：1～120W连续可调。理疗模式：连续1～80W连续可调。脉冲模式：1～120W；脉冲频率为0.5Hz，脉宽为1S。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9.辐射器无用辐射：≤2mW/cm2。(全金属外壳屏蔽)。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10.微波机辐射泄漏：≤1mW/cm2。(全金属外壳屏蔽)。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11.保护功能：具有闭锁保护、过载保护、超温报警、误操作报警、功率自检及功率输出时键盘锁定功能、电压监测功能。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04包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颈腰椎牵引设备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9万元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9万元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腰部加热器：内置在牵引床内的加热器，温热等级有≥5档可调。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2、颈部加热带：可根据颈椎曲线自由弯曲，柔软舒适。温热等级有≥5档可调。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3、双颈牵配置。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4、传动装置：采用力矩电机。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5、牵引力精确：有自动检测功能、自动补偿功能。牵引力1~99Kg在牵引过程中可根据医生需要随时增减，无须停机。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6、床体具有阻尼器，防止床体迅速滑动。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7、牵引体位科学：膝下应用三角枕调节受力位置。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8、腰背部床体凹凸截面设计。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9、上身固定采用腋下摆臂和胸部两种固定方式。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10、安全设置：颈腰牵引都配有紧急停止开关。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11、设定值锁定功能：防止误操作导致医疗事故的发生。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12、牵引绳采用钢丝绳，外包PU防止钢丝毛刺扎手，固定轨道。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13、床面采用阻燃皮革。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14、全数字设定显示，牵引力、牵引时间、治疗时间均数字设定，且有记忆功能。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15、自动故障检测，以不同代码指示故障，停止治疗，故障排除后方可正常使用。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16、牵引模式：主副牵引、连续牵引、间歇牵引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17、电源：a.c.220V  50Hz，功率：180VA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05包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多体位治疗床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9万元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9万元</w:t>
            </w:r>
          </w:p>
        </w:tc>
        <w:tc>
          <w:tcPr>
            <w:tcW w:w="45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1、定时时间：1-99min任意可调，连续工作时间≥8h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1、≥三段位设计，各段位均可调节。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2、收滑轮踏板：能通过收滑轮踏板实现固定和移动功能的转换。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3、环形脚控开关，医生可在床体周围任意位置调整床体电机，方便操作治疗。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4、设备采用直线电机和气动弹簧，能够在临床上使用更加安全。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5、床板安全工作载荷：≥170kg（患者≥135kg）。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8、床面规格：65(W)cm*190(L)cm±5cm。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9、升降高度：55cm～100cm±5cm。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10、头部段面调节角度：-60°～45°±5°。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11、腿部段面最大调节角度：≥75°。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12、胸腰段面最大调节角度：≥120°。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13、配备紧急停止开关。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14、运行模式：间歇运行。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15、电源输入：a.c.220V  50 Hz。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928"/>
        <w:gridCol w:w="1321"/>
        <w:gridCol w:w="1272"/>
        <w:gridCol w:w="1"/>
        <w:gridCol w:w="1055"/>
        <w:gridCol w:w="667"/>
        <w:gridCol w:w="1250"/>
        <w:gridCol w:w="1246"/>
        <w:gridCol w:w="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包号</w:t>
            </w:r>
          </w:p>
        </w:tc>
        <w:tc>
          <w:tcPr>
            <w:tcW w:w="1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2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  <w:bookmarkStart w:id="6" w:name="_GoBack"/>
            <w:bookmarkEnd w:id="6"/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0" w:hRule="atLeast"/>
        </w:trPr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3" w:name="_Toc174767233"/>
      <w:bookmarkStart w:id="4" w:name="_Toc237343703"/>
      <w:bookmarkStart w:id="5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3"/>
      <w:bookmarkEnd w:id="4"/>
      <w:bookmarkEnd w:id="5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CB9"/>
    <w:multiLevelType w:val="multilevel"/>
    <w:tmpl w:val="00CA6CB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29B3DC"/>
    <w:multiLevelType w:val="singleLevel"/>
    <w:tmpl w:val="6629B3DC"/>
    <w:lvl w:ilvl="0" w:tentative="0">
      <w:start w:val="11"/>
      <w:numFmt w:val="decimal"/>
      <w:lvlText w:val="%1."/>
      <w:lvlJc w:val="left"/>
    </w:lvl>
  </w:abstractNum>
  <w:abstractNum w:abstractNumId="2">
    <w:nsid w:val="79AE670D"/>
    <w:multiLevelType w:val="multilevel"/>
    <w:tmpl w:val="79AE67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246F0C"/>
    <w:multiLevelType w:val="multilevel"/>
    <w:tmpl w:val="7B246F0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5970"/>
    <w:rsid w:val="014B2171"/>
    <w:rsid w:val="0764625B"/>
    <w:rsid w:val="11D77945"/>
    <w:rsid w:val="135A0F8D"/>
    <w:rsid w:val="141E2756"/>
    <w:rsid w:val="14B37E12"/>
    <w:rsid w:val="1F086E2D"/>
    <w:rsid w:val="34E173E3"/>
    <w:rsid w:val="363948A5"/>
    <w:rsid w:val="472810C5"/>
    <w:rsid w:val="4929103A"/>
    <w:rsid w:val="4B2B740C"/>
    <w:rsid w:val="4EB41910"/>
    <w:rsid w:val="514449B9"/>
    <w:rsid w:val="52173063"/>
    <w:rsid w:val="53CD1A94"/>
    <w:rsid w:val="590D4C12"/>
    <w:rsid w:val="5C084FFC"/>
    <w:rsid w:val="5EEF06C9"/>
    <w:rsid w:val="64013AB2"/>
    <w:rsid w:val="6B4F1167"/>
    <w:rsid w:val="6BD5111E"/>
    <w:rsid w:val="6FAA5EDA"/>
    <w:rsid w:val="739F29C4"/>
    <w:rsid w:val="770C2A8E"/>
    <w:rsid w:val="7BE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2551</Words>
  <Characters>2691</Characters>
  <Paragraphs>188</Paragraphs>
  <TotalTime>0</TotalTime>
  <ScaleCrop>false</ScaleCrop>
  <LinksUpToDate>false</LinksUpToDate>
  <CharactersWithSpaces>2962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2024-06-11T03:26:00Z</cp:lastPrinted>
  <dcterms:modified xsi:type="dcterms:W3CDTF">2024-06-26T06:06:38Z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