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bookmarkStart w:id="0" w:name="_Toc237343703"/>
      <w:bookmarkStart w:id="1" w:name="_Toc174767233"/>
      <w:bookmarkStart w:id="2" w:name="_Toc95295163"/>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成都市金牛区妇幼保健院1号楼地下室的高压配电室、低压配电室和8楼的信息机房中设置的柜式七氟丙烷灭火装置于2014年08月安装，其瓶组生产日期为2014年06月25日。依据《气体灭火系统设计规范》GB50370-2005、《气瓶安全技术规程》TSG23-2021中第9.3条 “定期检验周期，七氟丙烷灭火装置的瓶组检验周期为5年”；为此，需送往具有相应专业资质的检测机构进行检测、出具相应检测报告，检测合格后将按规定继续投入使用。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 xml:space="preserve">需要送检的柜式七氟丙烷灭火装置的瓶组为：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①高压配电室瓶组：120L*2瓶（双瓶组）；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②低压配电室瓶组：120L*3瓶（一双一单瓶组）；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③8楼网络机房瓶组：120L*1瓶（单瓶组）；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注：瓶组贮存压力20℃为：2.5MPa。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二、最高限价：</w:t>
      </w:r>
      <w:r>
        <w:rPr>
          <w:rFonts w:hint="eastAsia"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2.5</w:t>
      </w: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万元/年。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bidi="ar"/>
          <w14:ligatures w14:val="none"/>
        </w:rPr>
        <w:t>三、服务技术要求：</w:t>
      </w:r>
    </w:p>
    <w:p>
      <w:pPr>
        <w:pStyle w:val="11"/>
        <w:spacing w:line="500" w:lineRule="exact"/>
        <w:ind w:firstLine="560" w:firstLineChars="200"/>
        <w:rPr>
          <w:rFonts w:hint="default"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t>1.</w:t>
      </w:r>
      <w:r>
        <w:rPr>
          <w:rFonts w:hint="default"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t>对七氟丙烷气体灭火装置进行检测、充装要求：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①　现场拆除瓶组进行瓶组称重记录，并采集瓶组内药剂进行留样（对检测的结果有异议可提出重新送检）。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②　送到检测机构后，对瓶组内七氟丙烷药剂进行抽样采集，检验药剂的纯度，并提供检测原始具数据。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③　若药剂不符合国家标准，需全部进行更换并充装；若符合国家标准，需补充检测过程中相应损耗量的药剂。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④　对瓶组、容器、容器阀等进行相关压力、严密性等试验，以及配件等检测；更换相应不合格瓶组配件。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⑤　瓶组等配件检测合格后将合格的药剂装回相应瓶组，补充损耗药剂药剂量满足瓶组标明公斤数量。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⑥　压力充装到标准值、观察一段时间后再返回安装、并投入使用。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⑦　瓶组拆除时、以及返回安装时，实施方应于与消防维保方、以及消防控制室值班人员做好相应衔接工作。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⑧　瓶组从拆卸到返回安装实施工期每次不超过10天。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⑨　检测方需为送检方的气体保护区域提供相应的防护措施和安全建议；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t>⑩　检测完成后需提供合法、有效、真实的检测报告，报告内容不限于药剂纯度、瓶组检验数据、是否能继续使用等内容。</w:t>
      </w:r>
    </w:p>
    <w:p>
      <w:pPr>
        <w:pStyle w:val="11"/>
        <w:spacing w:line="500" w:lineRule="exact"/>
        <w:ind w:firstLine="560" w:firstLineChars="200"/>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t>2.七氟丙烷灭火装置送检及充装清单</w:t>
      </w:r>
    </w:p>
    <w:p>
      <w:pPr>
        <w:pStyle w:val="11"/>
        <w:spacing w:line="500" w:lineRule="exact"/>
        <w:ind w:firstLine="560"/>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14:ligatures w14:val="none"/>
        </w:rPr>
        <w:t>检测方根据送检瓶组情况，补充药剂量超过正常损耗量或瓶组内药剂因自然泄漏引起多补充药剂量，其药剂的费用需考虑充分，不在进行调整。</w:t>
      </w:r>
    </w:p>
    <w:p>
      <w:pPr>
        <w:spacing w:after="93" w:afterLines="30" w:line="440" w:lineRule="exact"/>
        <w:jc w:val="cente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14:ligatures w14:val="none"/>
        </w:rPr>
        <w:t>七氟丙烷灭火装置瓶组等送检充装清单</w:t>
      </w:r>
    </w:p>
    <w:tbl>
      <w:tblPr>
        <w:tblStyle w:val="7"/>
        <w:tblW w:w="8233" w:type="dxa"/>
        <w:tblInd w:w="93" w:type="dxa"/>
        <w:tblLayout w:type="fixed"/>
        <w:tblCellMar>
          <w:top w:w="0" w:type="dxa"/>
          <w:left w:w="108" w:type="dxa"/>
          <w:bottom w:w="0" w:type="dxa"/>
          <w:right w:w="108" w:type="dxa"/>
        </w:tblCellMar>
      </w:tblPr>
      <w:tblGrid>
        <w:gridCol w:w="724"/>
        <w:gridCol w:w="1283"/>
        <w:gridCol w:w="1296"/>
        <w:gridCol w:w="705"/>
        <w:gridCol w:w="708"/>
        <w:gridCol w:w="3517"/>
      </w:tblGrid>
      <w:tr>
        <w:tblPrEx>
          <w:tblLayout w:type="fixed"/>
          <w:tblCellMar>
            <w:top w:w="0" w:type="dxa"/>
            <w:left w:w="108" w:type="dxa"/>
            <w:bottom w:w="0" w:type="dxa"/>
            <w:right w:w="108" w:type="dxa"/>
          </w:tblCellMar>
        </w:tblPrEx>
        <w:trPr>
          <w:trHeight w:val="519" w:hRule="atLeast"/>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12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型号</w:t>
            </w:r>
          </w:p>
        </w:tc>
        <w:tc>
          <w:tcPr>
            <w:tcW w:w="7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单位</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5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108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七氟丙烷补充充装</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HFC-227ea</w:t>
            </w:r>
          </w:p>
        </w:tc>
        <w:tc>
          <w:tcPr>
            <w:tcW w:w="70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公斤</w:t>
            </w:r>
          </w:p>
        </w:tc>
        <w:tc>
          <w:tcPr>
            <w:tcW w:w="70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180</w:t>
            </w:r>
          </w:p>
        </w:tc>
        <w:tc>
          <w:tcPr>
            <w:tcW w:w="351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lang w:val="en-US" w:eastAsia="zh-CN"/>
              </w:rPr>
              <w:t>数量为参考量，</w:t>
            </w:r>
            <w:r>
              <w:rPr>
                <w:rFonts w:hint="eastAsia" w:ascii="宋体" w:hAnsi="宋体" w:cs="宋体"/>
                <w:color w:val="auto"/>
                <w:kern w:val="0"/>
                <w:sz w:val="24"/>
              </w:rPr>
              <w:t>药剂</w:t>
            </w:r>
            <w:r>
              <w:rPr>
                <w:rFonts w:hint="eastAsia" w:ascii="宋体" w:hAnsi="宋体" w:cs="宋体"/>
                <w:color w:val="auto"/>
                <w:kern w:val="0"/>
                <w:sz w:val="24"/>
                <w:lang w:val="en-US" w:eastAsia="zh-CN"/>
              </w:rPr>
              <w:t>充装完成</w:t>
            </w:r>
            <w:r>
              <w:rPr>
                <w:rFonts w:hint="eastAsia" w:ascii="宋体" w:hAnsi="宋体" w:cs="宋体"/>
                <w:color w:val="auto"/>
                <w:kern w:val="0"/>
                <w:sz w:val="24"/>
              </w:rPr>
              <w:t>量</w:t>
            </w:r>
            <w:r>
              <w:rPr>
                <w:rFonts w:hint="eastAsia" w:ascii="宋体" w:hAnsi="宋体" w:cs="宋体"/>
                <w:color w:val="auto"/>
                <w:kern w:val="0"/>
                <w:sz w:val="24"/>
                <w:lang w:val="en-US" w:eastAsia="zh-CN"/>
              </w:rPr>
              <w:t>需</w:t>
            </w:r>
            <w:r>
              <w:rPr>
                <w:rFonts w:hint="eastAsia" w:ascii="宋体" w:hAnsi="宋体" w:cs="宋体"/>
                <w:color w:val="auto"/>
                <w:kern w:val="0"/>
                <w:sz w:val="24"/>
              </w:rPr>
              <w:t>满足瓶组标明量</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若数量不足部分在单价中综合考虑</w:t>
            </w:r>
            <w:r>
              <w:rPr>
                <w:rFonts w:hint="eastAsia" w:ascii="宋体" w:hAnsi="宋体" w:cs="宋体"/>
                <w:color w:val="auto"/>
                <w:kern w:val="0"/>
                <w:sz w:val="24"/>
              </w:rPr>
              <w:t>。</w:t>
            </w:r>
            <w:r>
              <w:rPr>
                <w:rFonts w:ascii="宋体" w:hAnsi="宋体" w:cs="宋体"/>
                <w:color w:val="auto"/>
                <w:kern w:val="0"/>
                <w:sz w:val="24"/>
              </w:rPr>
              <w:t xml:space="preserve"> </w:t>
            </w:r>
          </w:p>
        </w:tc>
      </w:tr>
      <w:tr>
        <w:tblPrEx>
          <w:tblLayout w:type="fixed"/>
          <w:tblCellMar>
            <w:top w:w="0" w:type="dxa"/>
            <w:left w:w="108" w:type="dxa"/>
            <w:bottom w:w="0" w:type="dxa"/>
            <w:right w:w="108" w:type="dxa"/>
          </w:tblCellMar>
        </w:tblPrEx>
        <w:trPr>
          <w:trHeight w:val="1140"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储气瓶组等检测</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120L、2.5MPa</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瓶</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3517"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检测钢瓶、瓶组及瓶头阀清洗、更换密封件、更换安全膜片及强度、严密性试验。</w:t>
            </w:r>
          </w:p>
        </w:tc>
      </w:tr>
      <w:tr>
        <w:tblPrEx>
          <w:tblLayout w:type="fixed"/>
          <w:tblCellMar>
            <w:top w:w="0" w:type="dxa"/>
            <w:left w:w="108" w:type="dxa"/>
            <w:bottom w:w="0" w:type="dxa"/>
            <w:right w:w="108" w:type="dxa"/>
          </w:tblCellMar>
        </w:tblPrEx>
        <w:trPr>
          <w:trHeight w:val="733"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瓶组运输费</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瓶组保护</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瓶组</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3517" w:type="dxa"/>
            <w:tcBorders>
              <w:top w:val="nil"/>
              <w:left w:val="nil"/>
              <w:bottom w:val="single" w:color="auto" w:sz="4" w:space="0"/>
              <w:right w:val="single" w:color="auto" w:sz="4" w:space="0"/>
            </w:tcBorders>
            <w:noWrap w:val="0"/>
            <w:vAlign w:val="center"/>
          </w:tcPr>
          <w:p>
            <w:pPr>
              <w:spacing w:line="240" w:lineRule="exact"/>
              <w:jc w:val="left"/>
              <w:rPr>
                <w:rFonts w:ascii="宋体" w:hAnsi="宋体" w:cs="仿宋"/>
                <w:color w:val="auto"/>
                <w:sz w:val="24"/>
              </w:rPr>
            </w:pPr>
          </w:p>
        </w:tc>
      </w:tr>
      <w:tr>
        <w:tblPrEx>
          <w:tblLayout w:type="fixed"/>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安装及拆卸费</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项</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3517"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rPr>
          <w:rFonts w:hint="eastAsia" w:ascii="宋体" w:hAnsi="宋体" w:cs="仿宋"/>
          <w:color w:val="auto"/>
          <w:sz w:val="24"/>
        </w:rPr>
      </w:pPr>
      <w:r>
        <w:rPr>
          <w:rFonts w:hint="eastAsia" w:ascii="宋体" w:hAnsi="宋体" w:cs="仿宋"/>
          <w:color w:val="auto"/>
          <w:sz w:val="24"/>
        </w:rPr>
        <w:t>注意事项：</w:t>
      </w:r>
    </w:p>
    <w:p>
      <w:pPr>
        <w:widowControl/>
        <w:numPr>
          <w:ilvl w:val="0"/>
          <w:numId w:val="1"/>
        </w:numPr>
        <w:ind w:firstLine="480" w:firstLineChars="200"/>
        <w:rPr>
          <w:rFonts w:hint="eastAsia" w:ascii="宋体" w:hAnsi="宋体" w:cs="仿宋"/>
          <w:color w:val="auto"/>
          <w:sz w:val="24"/>
          <w:lang w:val="en-US" w:eastAsia="zh-CN"/>
        </w:rPr>
      </w:pPr>
      <w:r>
        <w:rPr>
          <w:rFonts w:hint="eastAsia" w:ascii="宋体" w:hAnsi="宋体" w:cs="仿宋"/>
          <w:color w:val="auto"/>
          <w:sz w:val="24"/>
          <w:lang w:val="en-US" w:eastAsia="zh-CN"/>
        </w:rPr>
        <w:t>以安全管理为基础，根据机房实际运行情况，管理方有权要求分2批次送检。</w:t>
      </w:r>
    </w:p>
    <w:p>
      <w:pPr>
        <w:widowControl/>
        <w:numPr>
          <w:ilvl w:val="0"/>
          <w:numId w:val="1"/>
        </w:numPr>
        <w:ind w:firstLine="480" w:firstLineChars="200"/>
        <w:rPr>
          <w:rFonts w:hint="eastAsia" w:ascii="宋体" w:hAnsi="宋体" w:cs="仿宋"/>
          <w:color w:val="auto"/>
          <w:sz w:val="24"/>
        </w:rPr>
      </w:pPr>
      <w:r>
        <w:rPr>
          <w:rFonts w:hint="eastAsia" w:ascii="宋体" w:hAnsi="宋体" w:cs="仿宋"/>
          <w:color w:val="auto"/>
          <w:sz w:val="24"/>
        </w:rPr>
        <w:t>在实施过程中，检测方需与消防维保方、消防控制室值班人员等做好衔接沟通工作，确保这期间的消防安全；并提供做好</w:t>
      </w:r>
      <w:r>
        <w:rPr>
          <w:rFonts w:hint="eastAsia" w:ascii="宋体" w:hAnsi="宋体" w:cs="宋体"/>
          <w:color w:val="auto"/>
          <w:kern w:val="0"/>
          <w:sz w:val="24"/>
        </w:rPr>
        <w:t>安全</w:t>
      </w:r>
      <w:r>
        <w:rPr>
          <w:rFonts w:hint="eastAsia" w:ascii="宋体" w:hAnsi="宋体" w:cs="仿宋"/>
          <w:color w:val="auto"/>
          <w:sz w:val="24"/>
        </w:rPr>
        <w:t>防护措施方案。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color w:val="auto"/>
          <w:sz w:val="28"/>
          <w:szCs w:val="28"/>
        </w:rPr>
      </w:pPr>
      <w:r>
        <w:rPr>
          <w:rFonts w:hint="eastAsia" w:ascii="宋体" w:hAnsi="宋体" w:eastAsia="宋体" w:cs="仿宋"/>
          <w:color w:val="auto"/>
          <w:sz w:val="24"/>
          <w:lang w:val="en-US" w:eastAsia="zh-CN"/>
        </w:rPr>
        <w:t>报价中包含装置检测、充装基本要求中内容、以及充装清单中要求的项目内容。</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val="en-US" w:eastAsia="zh-CN"/>
        </w:rPr>
        <w:t>附件：</w:t>
      </w:r>
    </w:p>
    <w:p>
      <w:pPr>
        <w:widowControl/>
        <w:jc w:val="center"/>
        <w:rPr>
          <w:rFonts w:hint="eastAsia" w:ascii="方正仿宋_GBK" w:hAnsi="方正仿宋_GBK" w:eastAsia="方正仿宋_GBK" w:cs="方正仿宋_GBK"/>
          <w:sz w:val="24"/>
          <w:szCs w:val="24"/>
        </w:rPr>
      </w:pPr>
      <w:r>
        <w:rPr>
          <w:rFonts w:hint="eastAsia" w:ascii="宋体" w:hAnsi="宋体" w:cs="宋体"/>
          <w:color w:val="auto"/>
          <w:kern w:val="0"/>
          <w:sz w:val="24"/>
          <w:lang w:val="en-US" w:eastAsia="zh-CN"/>
        </w:rPr>
        <w:t>报价一览表</w:t>
      </w:r>
    </w:p>
    <w:tbl>
      <w:tblPr>
        <w:tblStyle w:val="7"/>
        <w:tblW w:w="9229" w:type="dxa"/>
        <w:jc w:val="center"/>
        <w:tblInd w:w="93" w:type="dxa"/>
        <w:tblLayout w:type="fixed"/>
        <w:tblCellMar>
          <w:top w:w="0" w:type="dxa"/>
          <w:left w:w="108" w:type="dxa"/>
          <w:bottom w:w="0" w:type="dxa"/>
          <w:right w:w="108" w:type="dxa"/>
        </w:tblCellMar>
      </w:tblPr>
      <w:tblGrid>
        <w:gridCol w:w="724"/>
        <w:gridCol w:w="1283"/>
        <w:gridCol w:w="1296"/>
        <w:gridCol w:w="705"/>
        <w:gridCol w:w="708"/>
        <w:gridCol w:w="828"/>
        <w:gridCol w:w="992"/>
        <w:gridCol w:w="2693"/>
      </w:tblGrid>
      <w:tr>
        <w:tblPrEx>
          <w:tblLayout w:type="fixed"/>
          <w:tblCellMar>
            <w:top w:w="0" w:type="dxa"/>
            <w:left w:w="108" w:type="dxa"/>
            <w:bottom w:w="0" w:type="dxa"/>
            <w:right w:w="108" w:type="dxa"/>
          </w:tblCellMar>
        </w:tblPrEx>
        <w:trPr>
          <w:trHeight w:val="51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12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设备名称</w:t>
            </w:r>
          </w:p>
        </w:tc>
        <w:tc>
          <w:tcPr>
            <w:tcW w:w="12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型号</w:t>
            </w:r>
          </w:p>
        </w:tc>
        <w:tc>
          <w:tcPr>
            <w:tcW w:w="70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color w:val="auto"/>
                <w:kern w:val="0"/>
                <w:sz w:val="24"/>
              </w:rPr>
            </w:pPr>
            <w:r>
              <w:rPr>
                <w:rFonts w:hint="eastAsia" w:ascii="宋体" w:hAnsi="宋体" w:cs="宋体"/>
                <w:b/>
                <w:bCs/>
                <w:color w:val="auto"/>
                <w:kern w:val="0"/>
                <w:sz w:val="24"/>
              </w:rPr>
              <w:t>单位</w:t>
            </w:r>
          </w:p>
        </w:tc>
        <w:tc>
          <w:tcPr>
            <w:tcW w:w="70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数量</w:t>
            </w:r>
          </w:p>
        </w:tc>
        <w:tc>
          <w:tcPr>
            <w:tcW w:w="82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 xml:space="preserve"> 单价 </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小计</w:t>
            </w:r>
          </w:p>
        </w:tc>
        <w:tc>
          <w:tcPr>
            <w:tcW w:w="26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Layout w:type="fixed"/>
          <w:tblCellMar>
            <w:top w:w="0" w:type="dxa"/>
            <w:left w:w="108" w:type="dxa"/>
            <w:bottom w:w="0" w:type="dxa"/>
            <w:right w:w="108" w:type="dxa"/>
          </w:tblCellMar>
        </w:tblPrEx>
        <w:trPr>
          <w:trHeight w:val="1080"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七氟丙烷补充充装</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HFC-227ea</w:t>
            </w:r>
          </w:p>
        </w:tc>
        <w:tc>
          <w:tcPr>
            <w:tcW w:w="70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公斤</w:t>
            </w:r>
          </w:p>
        </w:tc>
        <w:tc>
          <w:tcPr>
            <w:tcW w:w="70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180</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69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lang w:val="en-US" w:eastAsia="zh-CN"/>
              </w:rPr>
              <w:t>数量为参考量，</w:t>
            </w:r>
            <w:r>
              <w:rPr>
                <w:rFonts w:hint="eastAsia" w:ascii="宋体" w:hAnsi="宋体" w:cs="宋体"/>
                <w:color w:val="auto"/>
                <w:kern w:val="0"/>
                <w:sz w:val="24"/>
              </w:rPr>
              <w:t>药剂</w:t>
            </w:r>
            <w:r>
              <w:rPr>
                <w:rFonts w:hint="eastAsia" w:ascii="宋体" w:hAnsi="宋体" w:cs="宋体"/>
                <w:color w:val="auto"/>
                <w:kern w:val="0"/>
                <w:sz w:val="24"/>
                <w:lang w:val="en-US" w:eastAsia="zh-CN"/>
              </w:rPr>
              <w:t>充装完成</w:t>
            </w:r>
            <w:r>
              <w:rPr>
                <w:rFonts w:hint="eastAsia" w:ascii="宋体" w:hAnsi="宋体" w:cs="宋体"/>
                <w:color w:val="auto"/>
                <w:kern w:val="0"/>
                <w:sz w:val="24"/>
              </w:rPr>
              <w:t>量</w:t>
            </w:r>
            <w:r>
              <w:rPr>
                <w:rFonts w:hint="eastAsia" w:ascii="宋体" w:hAnsi="宋体" w:cs="宋体"/>
                <w:color w:val="auto"/>
                <w:kern w:val="0"/>
                <w:sz w:val="24"/>
                <w:lang w:val="en-US" w:eastAsia="zh-CN"/>
              </w:rPr>
              <w:t>需</w:t>
            </w:r>
            <w:r>
              <w:rPr>
                <w:rFonts w:hint="eastAsia" w:ascii="宋体" w:hAnsi="宋体" w:cs="宋体"/>
                <w:color w:val="auto"/>
                <w:kern w:val="0"/>
                <w:sz w:val="24"/>
              </w:rPr>
              <w:t>满足瓶组标明量</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若数量不足部分在单价中综合考虑</w:t>
            </w:r>
            <w:r>
              <w:rPr>
                <w:rFonts w:hint="eastAsia" w:ascii="宋体" w:hAnsi="宋体" w:cs="宋体"/>
                <w:color w:val="auto"/>
                <w:kern w:val="0"/>
                <w:sz w:val="24"/>
              </w:rPr>
              <w:t>。</w:t>
            </w:r>
            <w:r>
              <w:rPr>
                <w:rFonts w:ascii="宋体" w:hAnsi="宋体" w:cs="宋体"/>
                <w:color w:val="auto"/>
                <w:kern w:val="0"/>
                <w:sz w:val="24"/>
              </w:rPr>
              <w:t xml:space="preserve"> </w:t>
            </w:r>
          </w:p>
        </w:tc>
      </w:tr>
      <w:tr>
        <w:tblPrEx>
          <w:tblLayout w:type="fixed"/>
          <w:tblCellMar>
            <w:top w:w="0" w:type="dxa"/>
            <w:left w:w="108" w:type="dxa"/>
            <w:bottom w:w="0" w:type="dxa"/>
            <w:right w:w="108" w:type="dxa"/>
          </w:tblCellMar>
        </w:tblPrEx>
        <w:trPr>
          <w:trHeight w:val="1140"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储气瓶组等检测</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120L、2.5MPa</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瓶</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693" w:type="dxa"/>
            <w:tcBorders>
              <w:top w:val="nil"/>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检测钢瓶、瓶组及瓶头阀清洗、更换密封件、更换安全膜片及强度、严密性试验。</w:t>
            </w:r>
          </w:p>
        </w:tc>
      </w:tr>
      <w:tr>
        <w:tblPrEx>
          <w:tblLayout w:type="fixed"/>
          <w:tblCellMar>
            <w:top w:w="0" w:type="dxa"/>
            <w:left w:w="108" w:type="dxa"/>
            <w:bottom w:w="0" w:type="dxa"/>
            <w:right w:w="108" w:type="dxa"/>
          </w:tblCellMar>
        </w:tblPrEx>
        <w:trPr>
          <w:trHeight w:val="733"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瓶组运输费</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瓶组保护</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瓶组</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693" w:type="dxa"/>
            <w:tcBorders>
              <w:top w:val="nil"/>
              <w:left w:val="nil"/>
              <w:bottom w:val="single" w:color="auto" w:sz="4" w:space="0"/>
              <w:right w:val="single" w:color="auto" w:sz="4" w:space="0"/>
            </w:tcBorders>
            <w:noWrap w:val="0"/>
            <w:vAlign w:val="center"/>
          </w:tcPr>
          <w:p>
            <w:pPr>
              <w:spacing w:line="240" w:lineRule="exact"/>
              <w:jc w:val="left"/>
              <w:rPr>
                <w:rFonts w:ascii="宋体" w:hAnsi="宋体" w:cs="仿宋"/>
                <w:color w:val="auto"/>
                <w:sz w:val="24"/>
              </w:rPr>
            </w:pPr>
          </w:p>
        </w:tc>
      </w:tr>
      <w:tr>
        <w:tblPrEx>
          <w:tblLayout w:type="fixed"/>
          <w:tblCellMar>
            <w:top w:w="0" w:type="dxa"/>
            <w:left w:w="108" w:type="dxa"/>
            <w:bottom w:w="0" w:type="dxa"/>
            <w:right w:w="108" w:type="dxa"/>
          </w:tblCellMar>
        </w:tblPrEx>
        <w:trPr>
          <w:trHeight w:val="375"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4</w:t>
            </w:r>
          </w:p>
        </w:tc>
        <w:tc>
          <w:tcPr>
            <w:tcW w:w="1283"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安装及拆卸费</w:t>
            </w:r>
          </w:p>
        </w:tc>
        <w:tc>
          <w:tcPr>
            <w:tcW w:w="1296"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项</w:t>
            </w: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6</w:t>
            </w:r>
          </w:p>
        </w:tc>
        <w:tc>
          <w:tcPr>
            <w:tcW w:w="82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6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465" w:hRule="atLeast"/>
          <w:jc w:val="center"/>
        </w:trPr>
        <w:tc>
          <w:tcPr>
            <w:tcW w:w="2007" w:type="dxa"/>
            <w:gridSpan w:val="2"/>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合计</w:t>
            </w:r>
          </w:p>
        </w:tc>
        <w:tc>
          <w:tcPr>
            <w:tcW w:w="7222" w:type="dxa"/>
            <w:gridSpan w:val="6"/>
            <w:tcBorders>
              <w:top w:val="single" w:color="auto" w:sz="4" w:space="0"/>
              <w:left w:val="nil"/>
              <w:bottom w:val="nil"/>
              <w:right w:val="single" w:color="auto" w:sz="4" w:space="0"/>
            </w:tcBorders>
            <w:noWrap w:val="0"/>
            <w:vAlign w:val="center"/>
          </w:tcPr>
          <w:p>
            <w:pPr>
              <w:widowControl/>
              <w:rPr>
                <w:rFonts w:ascii="宋体" w:hAnsi="宋体" w:cs="宋体"/>
                <w:color w:val="auto"/>
                <w:kern w:val="0"/>
                <w:sz w:val="24"/>
              </w:rPr>
            </w:pPr>
            <w:r>
              <w:rPr>
                <w:rFonts w:hint="eastAsia" w:ascii="宋体" w:hAnsi="宋体" w:cs="宋体"/>
                <w:color w:val="auto"/>
                <w:kern w:val="0"/>
                <w:sz w:val="24"/>
              </w:rPr>
              <w:t>　</w:t>
            </w:r>
          </w:p>
        </w:tc>
      </w:tr>
      <w:tr>
        <w:tblPrEx>
          <w:tblLayout w:type="fixed"/>
          <w:tblCellMar>
            <w:top w:w="0" w:type="dxa"/>
            <w:left w:w="108" w:type="dxa"/>
            <w:bottom w:w="0" w:type="dxa"/>
            <w:right w:w="108" w:type="dxa"/>
          </w:tblCellMar>
        </w:tblPrEx>
        <w:trPr>
          <w:trHeight w:val="1812" w:hRule="atLeast"/>
          <w:jc w:val="center"/>
        </w:trPr>
        <w:tc>
          <w:tcPr>
            <w:tcW w:w="9229" w:type="dxa"/>
            <w:gridSpan w:val="8"/>
            <w:tcBorders>
              <w:top w:val="single" w:color="auto" w:sz="4" w:space="0"/>
              <w:left w:val="single" w:color="auto" w:sz="4" w:space="0"/>
              <w:bottom w:val="single" w:color="auto" w:sz="4" w:space="0"/>
              <w:right w:val="single" w:color="000000" w:sz="4" w:space="0"/>
            </w:tcBorders>
            <w:noWrap w:val="0"/>
            <w:vAlign w:val="top"/>
          </w:tcPr>
          <w:p>
            <w:pPr>
              <w:rPr>
                <w:rFonts w:hint="eastAsia" w:ascii="宋体" w:hAnsi="宋体" w:cs="仿宋"/>
                <w:color w:val="auto"/>
                <w:sz w:val="24"/>
              </w:rPr>
            </w:pPr>
            <w:r>
              <w:rPr>
                <w:rFonts w:hint="eastAsia" w:ascii="宋体" w:hAnsi="宋体" w:cs="仿宋"/>
                <w:color w:val="auto"/>
                <w:sz w:val="24"/>
              </w:rPr>
              <w:t>注意事项：</w:t>
            </w:r>
          </w:p>
          <w:p>
            <w:pPr>
              <w:widowControl/>
              <w:numPr>
                <w:ilvl w:val="0"/>
                <w:numId w:val="2"/>
              </w:numPr>
              <w:ind w:firstLine="480" w:firstLineChars="200"/>
              <w:rPr>
                <w:rFonts w:hint="eastAsia" w:ascii="宋体" w:hAnsi="宋体" w:cs="仿宋"/>
                <w:color w:val="auto"/>
                <w:sz w:val="24"/>
                <w:lang w:val="en-US" w:eastAsia="zh-CN"/>
              </w:rPr>
            </w:pPr>
            <w:r>
              <w:rPr>
                <w:rFonts w:hint="eastAsia" w:ascii="宋体" w:hAnsi="宋体" w:cs="仿宋"/>
                <w:color w:val="auto"/>
                <w:sz w:val="24"/>
                <w:lang w:val="en-US" w:eastAsia="zh-CN"/>
              </w:rPr>
              <w:t>以安全管理为基础，根据机房实际运行情况，管理方有权要求分2批次送检。</w:t>
            </w:r>
          </w:p>
          <w:p>
            <w:pPr>
              <w:widowControl/>
              <w:numPr>
                <w:ilvl w:val="0"/>
                <w:numId w:val="2"/>
              </w:numPr>
              <w:ind w:firstLine="480" w:firstLineChars="200"/>
              <w:rPr>
                <w:rFonts w:hint="eastAsia" w:ascii="宋体" w:hAnsi="宋体" w:cs="仿宋"/>
                <w:color w:val="auto"/>
                <w:sz w:val="24"/>
              </w:rPr>
            </w:pPr>
            <w:r>
              <w:rPr>
                <w:rFonts w:hint="eastAsia" w:ascii="宋体" w:hAnsi="宋体" w:cs="仿宋"/>
                <w:color w:val="auto"/>
                <w:sz w:val="24"/>
              </w:rPr>
              <w:t>在实施过程中，检测方需与消防维保方、消防控制室值班人员等做好衔接沟通工作，确保这期间的消防安全；并提供做好</w:t>
            </w:r>
            <w:r>
              <w:rPr>
                <w:rFonts w:hint="eastAsia" w:ascii="宋体" w:hAnsi="宋体" w:cs="宋体"/>
                <w:color w:val="auto"/>
                <w:kern w:val="0"/>
                <w:sz w:val="24"/>
              </w:rPr>
              <w:t>安全</w:t>
            </w:r>
            <w:r>
              <w:rPr>
                <w:rFonts w:hint="eastAsia" w:ascii="宋体" w:hAnsi="宋体" w:cs="仿宋"/>
                <w:color w:val="auto"/>
                <w:sz w:val="24"/>
              </w:rPr>
              <w:t>防护措施方案。</w:t>
            </w:r>
          </w:p>
          <w:p>
            <w:pPr>
              <w:widowControl/>
              <w:numPr>
                <w:ilvl w:val="0"/>
                <w:numId w:val="2"/>
              </w:numPr>
              <w:ind w:firstLine="480" w:firstLineChars="200"/>
              <w:rPr>
                <w:rFonts w:hint="eastAsia" w:ascii="宋体" w:hAnsi="宋体" w:cs="仿宋"/>
                <w:color w:val="auto"/>
                <w:sz w:val="24"/>
              </w:rPr>
            </w:pPr>
            <w:r>
              <w:rPr>
                <w:rFonts w:hint="eastAsia" w:ascii="宋体" w:hAnsi="宋体" w:cs="仿宋"/>
                <w:color w:val="auto"/>
                <w:sz w:val="24"/>
                <w:lang w:val="en-US" w:eastAsia="zh-CN"/>
              </w:rPr>
              <w:t>报价中包含装置检测、充装基本要求中内容、以及充装清单中要求的项目内容。</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名称：XXX（盖单位公章）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4"/>
          <w:szCs w:val="24"/>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1ECEF"/>
    <w:multiLevelType w:val="singleLevel"/>
    <w:tmpl w:val="A831ECEF"/>
    <w:lvl w:ilvl="0" w:tentative="0">
      <w:start w:val="1"/>
      <w:numFmt w:val="decimal"/>
      <w:lvlText w:val="%1."/>
      <w:lvlJc w:val="left"/>
      <w:pPr>
        <w:tabs>
          <w:tab w:val="left" w:pos="312"/>
        </w:tabs>
      </w:pPr>
    </w:lvl>
  </w:abstractNum>
  <w:abstractNum w:abstractNumId="1">
    <w:nsid w:val="FF24EEA5"/>
    <w:multiLevelType w:val="singleLevel"/>
    <w:tmpl w:val="FF24EEA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52F2ADB"/>
    <w:rsid w:val="06FA2572"/>
    <w:rsid w:val="075E7D46"/>
    <w:rsid w:val="077F2EEF"/>
    <w:rsid w:val="0B9D574B"/>
    <w:rsid w:val="0BE4132D"/>
    <w:rsid w:val="0C27167A"/>
    <w:rsid w:val="0CC23BC6"/>
    <w:rsid w:val="0DA06BCC"/>
    <w:rsid w:val="0E9321A3"/>
    <w:rsid w:val="0EC90905"/>
    <w:rsid w:val="0F0D621F"/>
    <w:rsid w:val="100B19A5"/>
    <w:rsid w:val="121A5AE8"/>
    <w:rsid w:val="13D45246"/>
    <w:rsid w:val="17C73756"/>
    <w:rsid w:val="18C91698"/>
    <w:rsid w:val="19B54AC4"/>
    <w:rsid w:val="19C44121"/>
    <w:rsid w:val="1A07277D"/>
    <w:rsid w:val="1B9C7A48"/>
    <w:rsid w:val="1D65166C"/>
    <w:rsid w:val="1EE27400"/>
    <w:rsid w:val="1F145694"/>
    <w:rsid w:val="1F6F331C"/>
    <w:rsid w:val="1F9C47F0"/>
    <w:rsid w:val="22294DCE"/>
    <w:rsid w:val="2295362C"/>
    <w:rsid w:val="24C6263E"/>
    <w:rsid w:val="25863CA9"/>
    <w:rsid w:val="2C4B26DA"/>
    <w:rsid w:val="2D9667DC"/>
    <w:rsid w:val="2E077869"/>
    <w:rsid w:val="2E224167"/>
    <w:rsid w:val="2F4F2F8E"/>
    <w:rsid w:val="2FC32380"/>
    <w:rsid w:val="33B866DD"/>
    <w:rsid w:val="34630A19"/>
    <w:rsid w:val="34AD6036"/>
    <w:rsid w:val="35D977CF"/>
    <w:rsid w:val="3720182B"/>
    <w:rsid w:val="3A6B7A0D"/>
    <w:rsid w:val="3AE006E4"/>
    <w:rsid w:val="3B730AD8"/>
    <w:rsid w:val="3C9E34C4"/>
    <w:rsid w:val="3D210612"/>
    <w:rsid w:val="4266269B"/>
    <w:rsid w:val="42F82EE2"/>
    <w:rsid w:val="47B74145"/>
    <w:rsid w:val="4AC04D1E"/>
    <w:rsid w:val="4BD65750"/>
    <w:rsid w:val="4C081A5E"/>
    <w:rsid w:val="4C4B2D5D"/>
    <w:rsid w:val="4E813938"/>
    <w:rsid w:val="4F326BD2"/>
    <w:rsid w:val="50CB5EAD"/>
    <w:rsid w:val="55044E5B"/>
    <w:rsid w:val="55243A7A"/>
    <w:rsid w:val="56625ED1"/>
    <w:rsid w:val="592624F0"/>
    <w:rsid w:val="5E5D03CA"/>
    <w:rsid w:val="5ED61C38"/>
    <w:rsid w:val="600B2479"/>
    <w:rsid w:val="605B48FA"/>
    <w:rsid w:val="61DE6235"/>
    <w:rsid w:val="644E44FC"/>
    <w:rsid w:val="64A67A59"/>
    <w:rsid w:val="65006F2E"/>
    <w:rsid w:val="660B3AA0"/>
    <w:rsid w:val="66C94E3D"/>
    <w:rsid w:val="66EA756F"/>
    <w:rsid w:val="68A37079"/>
    <w:rsid w:val="6A713504"/>
    <w:rsid w:val="6D346FDA"/>
    <w:rsid w:val="75DC4CBC"/>
    <w:rsid w:val="769B0FFC"/>
    <w:rsid w:val="79716EA6"/>
    <w:rsid w:val="79F411F6"/>
    <w:rsid w:val="7F927686"/>
    <w:rsid w:val="7F960B81"/>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1</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2024-01-26T01:25:18Z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