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outlineLvl w:val="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1</w:t>
      </w:r>
      <w:r>
        <w:rPr>
          <w:rFonts w:hint="eastAsia" w:ascii="方正黑体_GBK" w:hAnsi="方正黑体_GBK" w:eastAsia="方正黑体_GBK" w:cs="方正黑体_GBK"/>
          <w:color w:val="auto"/>
          <w:sz w:val="32"/>
          <w:szCs w:val="32"/>
        </w:rPr>
        <w:t>：</w:t>
      </w:r>
    </w:p>
    <w:p>
      <w:pPr>
        <w:keepNext w:val="0"/>
        <w:keepLines w:val="0"/>
        <w:pageBreakBefore w:val="0"/>
        <w:kinsoku/>
        <w:overflowPunct/>
        <w:topLinePunct w:val="0"/>
        <w:autoSpaceDE/>
        <w:autoSpaceDN/>
        <w:bidi w:val="0"/>
        <w:spacing w:line="360" w:lineRule="auto"/>
        <w:ind w:firstLine="640" w:firstLineChars="200"/>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一、服务要求：</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（一）服务内容</w:t>
      </w:r>
      <w:r>
        <w:rPr>
          <w:rFonts w:hint="default" w:ascii="Times New Roman" w:hAnsi="Times New Roman" w:eastAsia="方正仿宋_GBK" w:cs="Times New Roman"/>
          <w:color w:val="auto"/>
          <w:sz w:val="32"/>
          <w:szCs w:val="32"/>
          <w:lang w:val="en-US" w:eastAsia="zh-CN"/>
        </w:rPr>
        <w:t>:</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提供本项目所需经皮黄疸仪及系统软件，经皮黄疸仪及与其匹配的软件系统：用户APP ，医生APP和PC管理平台均需具备二类医疗器械注册证（参选机构需提供基础数量经皮黄疸仪，并根据我院业务量的增长匹配增加一定数量的经皮黄疸仪及相应系统软件）。</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用户培训、宣教及签约服务：参选机构需对用户提供设备使用培训及宣教，并签署相关知情同意书，知情同意书内容需经院方审核。</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监护对象在使用远程黄疸监测期间因设备或软件相关问题、监测数据错误、费用问题等所引发的纠纷须由参选机构完全负责处理并承担相关责任。</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需保密用户的相关个人信息，不可用于非本项目其他用途。</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5.如需在院内进行宣传册、海报等宣传，相关内容需经院方审核，且放在指定地点。</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承诺对用户提供优质服务，并提供客服热线电话，及时响应客户的服务请求或投诉建议。</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（二）设备及软件系统功能需求</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经皮黄疸仪设备要求：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能够满足新生儿黄疸检测的功能，采集经皮黄疸数据，并实时上传系统；（附产品注册证及彩页</w:t>
      </w:r>
      <w:bookmarkStart w:id="3" w:name="_GoBack"/>
      <w:bookmarkEnd w:id="3"/>
      <w:r>
        <w:rPr>
          <w:rFonts w:hint="eastAsia" w:ascii="Times New Roman" w:hAnsi="Times New Roman" w:eastAsia="方正仿宋_GBK" w:cs="Times New Roman"/>
          <w:color w:val="auto"/>
          <w:sz w:val="32"/>
          <w:szCs w:val="32"/>
          <w:lang w:val="en-US" w:eastAsia="zh-CN"/>
        </w:rPr>
        <w:t>证明）</w:t>
      </w:r>
    </w:p>
    <w:p>
      <w:pPr>
        <w:keepNext w:val="0"/>
        <w:keepLines w:val="0"/>
        <w:pageBreakBefore w:val="0"/>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numPr>
          <w:ilvl w:val="0"/>
          <w:numId w:val="0"/>
        </w:numPr>
        <w:tabs>
          <w:tab w:val="left" w:pos="2142"/>
        </w:tabs>
        <w:kinsoku/>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软件系统功能</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软件功能截图证明</w:t>
      </w:r>
      <w:r>
        <w:rPr>
          <w:rFonts w:hint="eastAsia" w:ascii="Times New Roman" w:hAnsi="Times New Roman" w:eastAsia="方正仿宋_GBK" w:cs="Times New Roman"/>
          <w:color w:val="auto"/>
          <w:sz w:val="32"/>
          <w:szCs w:val="32"/>
          <w:lang w:eastAsia="zh-CN"/>
        </w:rPr>
        <w:t>）</w:t>
      </w:r>
    </w:p>
    <w:p>
      <w:pPr>
        <w:keepNext w:val="0"/>
        <w:keepLines w:val="0"/>
        <w:pageBreakBefore w:val="0"/>
        <w:numPr>
          <w:ilvl w:val="0"/>
          <w:numId w:val="0"/>
        </w:numPr>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)具备母婴室新生儿黄疸监测管理、新生儿病房黄疸监测管理、门诊黄疸监测、居家新生儿黄疸监测、随访功能，完成新生儿全流程黄疸管理功能。</w:t>
      </w:r>
    </w:p>
    <w:p>
      <w:pPr>
        <w:keepNext w:val="0"/>
        <w:keepLines w:val="0"/>
        <w:pageBreakBefore w:val="0"/>
        <w:numPr>
          <w:ilvl w:val="0"/>
          <w:numId w:val="0"/>
        </w:numPr>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)系统可提供院内黄疸监测管理及出院后黄疸管理，并可实现院内外监测数据一体化和持续性，完成新生儿生后1~2周的持续黄疸监测和管理。</w:t>
      </w:r>
    </w:p>
    <w:p>
      <w:pPr>
        <w:keepNext w:val="0"/>
        <w:keepLines w:val="0"/>
        <w:pageBreakBefore w:val="0"/>
        <w:numPr>
          <w:ilvl w:val="0"/>
          <w:numId w:val="0"/>
        </w:numPr>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)具有新生儿黄疸数据 AI 智能分析功能（提供软件注册证）可满足 Bhutani 曲线（2014专家共识），中国 TCB 曲线（2015)，光疗曲线（2014专家共识）三种曲线自动匹配及风险提示。</w:t>
      </w:r>
    </w:p>
    <w:p>
      <w:pPr>
        <w:keepNext w:val="0"/>
        <w:keepLines w:val="0"/>
        <w:pageBreakBefore w:val="0"/>
        <w:numPr>
          <w:ilvl w:val="0"/>
          <w:numId w:val="0"/>
        </w:numPr>
        <w:tabs>
          <w:tab w:val="left" w:pos="2142"/>
        </w:tabs>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)提供完善的高值预警、召回的闭环管理方案，系统自动预警和人工预警策略明确，结果可统计可追溯。</w:t>
      </w:r>
    </w:p>
    <w:p>
      <w:pPr>
        <w:pStyle w:val="2"/>
        <w:rPr>
          <w:rFonts w:hint="default"/>
          <w:lang w:val="en-US" w:eastAsia="zh-CN"/>
        </w:rPr>
      </w:pPr>
    </w:p>
    <w:p>
      <w:pPr>
        <w:pStyle w:val="2"/>
        <w:rPr>
          <w:rFonts w:hint="eastAsia" w:ascii="方正仿宋_GBK" w:hAnsi="方正仿宋_GBK" w:eastAsia="方正仿宋_GBK" w:cs="方正仿宋_GBK"/>
          <w:color w:val="auto"/>
          <w:sz w:val="32"/>
          <w:szCs w:val="32"/>
        </w:rPr>
      </w:pPr>
    </w:p>
    <w:p>
      <w:pPr>
        <w:rPr>
          <w:rFonts w:hint="eastAsia"/>
        </w:rPr>
      </w:pPr>
    </w:p>
    <w:p>
      <w:pPr>
        <w:keepNext w:val="0"/>
        <w:keepLines w:val="0"/>
        <w:pageBreakBefore w:val="0"/>
        <w:kinsoku/>
        <w:overflowPunct/>
        <w:topLinePunct w:val="0"/>
        <w:autoSpaceDE/>
        <w:autoSpaceDN/>
        <w:bidi w:val="0"/>
        <w:spacing w:line="360" w:lineRule="auto"/>
        <w:jc w:val="left"/>
        <w:rPr>
          <w:rFonts w:hint="eastAsia" w:ascii="方正仿宋_GBK" w:hAnsi="方正仿宋_GBK" w:eastAsia="方正仿宋_GBK" w:cs="方正仿宋_GBK"/>
          <w:color w:val="auto"/>
          <w:sz w:val="32"/>
          <w:szCs w:val="32"/>
        </w:rPr>
      </w:pPr>
    </w:p>
    <w:p>
      <w:pPr>
        <w:pStyle w:val="2"/>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pStyle w:val="2"/>
        <w:rPr>
          <w:rFonts w:hint="eastAsia" w:ascii="方正仿宋_GBK" w:hAnsi="方正仿宋_GBK" w:eastAsia="方正仿宋_GBK" w:cs="方正仿宋_GBK"/>
          <w:color w:val="auto"/>
          <w:sz w:val="32"/>
          <w:szCs w:val="32"/>
        </w:rPr>
      </w:pPr>
    </w:p>
    <w:p>
      <w:pPr>
        <w:rPr>
          <w:rFonts w:hint="eastAsia"/>
        </w:rPr>
      </w:pPr>
    </w:p>
    <w:p>
      <w:pPr>
        <w:pStyle w:val="2"/>
        <w:rPr>
          <w:rFonts w:hint="eastAsia"/>
        </w:rPr>
      </w:pPr>
    </w:p>
    <w:p>
      <w:pPr>
        <w:rPr>
          <w:rFonts w:hint="eastAsia" w:ascii="方正仿宋_GBK" w:hAnsi="方正仿宋_GBK" w:eastAsia="方正仿宋_GBK" w:cs="方正仿宋_GBK"/>
          <w:color w:val="auto"/>
          <w:sz w:val="32"/>
          <w:szCs w:val="32"/>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kinsoku/>
        <w:overflowPunct/>
        <w:topLinePunct w:val="0"/>
        <w:autoSpaceDE/>
        <w:autoSpaceDN/>
        <w:bidi w:val="0"/>
        <w:spacing w:line="360" w:lineRule="auto"/>
        <w:ind w:firstLine="320" w:firstLineChars="10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报价表</w:t>
      </w:r>
    </w:p>
    <w:p>
      <w:pPr>
        <w:pStyle w:val="2"/>
        <w:rPr>
          <w:rFonts w:hint="default"/>
          <w:lang w:val="en-US" w:eastAsia="zh-CN"/>
        </w:rPr>
      </w:pPr>
      <w:r>
        <w:rPr>
          <w:rFonts w:hint="eastAsia" w:ascii="方正仿宋_GBK" w:hAnsi="方正仿宋_GBK" w:eastAsia="方正仿宋_GBK" w:cs="方正仿宋_GBK"/>
          <w:color w:val="auto"/>
          <w:sz w:val="32"/>
          <w:szCs w:val="32"/>
          <w:lang w:val="en-US" w:eastAsia="zh-CN"/>
        </w:rPr>
        <w:t>1.向医院缴纳费用</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242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682" w:type="dxa"/>
            <w:vAlign w:val="center"/>
          </w:tcPr>
          <w:p>
            <w:pPr>
              <w:keepNext w:val="0"/>
              <w:keepLines w:val="0"/>
              <w:pageBreakBefore w:val="0"/>
              <w:kinsoku/>
              <w:overflowPunct/>
              <w:topLinePunct w:val="0"/>
              <w:autoSpaceDE/>
              <w:autoSpaceDN/>
              <w:bidi w:val="0"/>
              <w:spacing w:line="360" w:lineRule="auto"/>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w:t>
            </w:r>
          </w:p>
        </w:tc>
        <w:tc>
          <w:tcPr>
            <w:tcW w:w="2423" w:type="dxa"/>
            <w:vAlign w:val="center"/>
          </w:tcPr>
          <w:p>
            <w:pPr>
              <w:keepNext w:val="0"/>
              <w:keepLines w:val="0"/>
              <w:pageBreakBefore w:val="0"/>
              <w:kinsoku/>
              <w:overflowPunct/>
              <w:topLinePunct w:val="0"/>
              <w:autoSpaceDE/>
              <w:autoSpaceDN/>
              <w:bidi w:val="0"/>
              <w:spacing w:line="360" w:lineRule="auto"/>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价格</w:t>
            </w:r>
          </w:p>
        </w:tc>
        <w:tc>
          <w:tcPr>
            <w:tcW w:w="2415" w:type="dxa"/>
            <w:vAlign w:val="center"/>
          </w:tcPr>
          <w:p>
            <w:pPr>
              <w:keepNext w:val="0"/>
              <w:keepLines w:val="0"/>
              <w:pageBreakBefore w:val="0"/>
              <w:kinsoku/>
              <w:overflowPunct/>
              <w:topLinePunct w:val="0"/>
              <w:autoSpaceDE/>
              <w:autoSpaceDN/>
              <w:bidi w:val="0"/>
              <w:spacing w:line="360" w:lineRule="auto"/>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3682" w:type="dxa"/>
            <w:vAlign w:val="center"/>
          </w:tcPr>
          <w:p>
            <w:pPr>
              <w:keepNext w:val="0"/>
              <w:keepLines w:val="0"/>
              <w:pageBreakBefore w:val="0"/>
              <w:kinsoku/>
              <w:overflowPunct/>
              <w:topLinePunct w:val="0"/>
              <w:autoSpaceDE/>
              <w:autoSpaceDN/>
              <w:bidi w:val="0"/>
              <w:spacing w:line="360" w:lineRule="auto"/>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综合管理费</w:t>
            </w:r>
          </w:p>
        </w:tc>
        <w:tc>
          <w:tcPr>
            <w:tcW w:w="2423" w:type="dxa"/>
            <w:vAlign w:val="center"/>
          </w:tcPr>
          <w:p>
            <w:pPr>
              <w:keepNext w:val="0"/>
              <w:keepLines w:val="0"/>
              <w:pageBreakBefore w:val="0"/>
              <w:kinsoku/>
              <w:overflowPunct/>
              <w:topLinePunct w:val="0"/>
              <w:autoSpaceDE/>
              <w:autoSpaceDN/>
              <w:bidi w:val="0"/>
              <w:spacing w:line="360" w:lineRule="auto"/>
              <w:jc w:val="righ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元/年</w:t>
            </w:r>
            <w:r>
              <w:rPr>
                <w:rFonts w:hint="eastAsia" w:ascii="方正仿宋_GBK" w:hAnsi="方正仿宋_GBK" w:eastAsia="方正仿宋_GBK" w:cs="方正仿宋_GBK"/>
                <w:color w:val="auto"/>
                <w:sz w:val="32"/>
                <w:szCs w:val="32"/>
                <w:lang w:eastAsia="zh-CN"/>
              </w:rPr>
              <w:t>）</w:t>
            </w:r>
          </w:p>
        </w:tc>
        <w:tc>
          <w:tcPr>
            <w:tcW w:w="2415" w:type="dxa"/>
            <w:vAlign w:val="center"/>
          </w:tcPr>
          <w:p>
            <w:pPr>
              <w:keepNext w:val="0"/>
              <w:keepLines w:val="0"/>
              <w:pageBreakBefore w:val="0"/>
              <w:kinsoku/>
              <w:overflowPunct/>
              <w:topLinePunct w:val="0"/>
              <w:autoSpaceDE/>
              <w:autoSpaceDN/>
              <w:bidi w:val="0"/>
              <w:spacing w:line="360" w:lineRule="auto"/>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3682" w:type="dxa"/>
            <w:vAlign w:val="center"/>
          </w:tcPr>
          <w:p>
            <w:pPr>
              <w:keepNext w:val="0"/>
              <w:keepLines w:val="0"/>
              <w:pageBreakBefore w:val="0"/>
              <w:kinsoku/>
              <w:overflowPunct/>
              <w:topLinePunct w:val="0"/>
              <w:autoSpaceDE/>
              <w:autoSpaceDN/>
              <w:bidi w:val="0"/>
              <w:spacing w:line="360" w:lineRule="auto"/>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技术指导费</w:t>
            </w:r>
          </w:p>
        </w:tc>
        <w:tc>
          <w:tcPr>
            <w:tcW w:w="2423" w:type="dxa"/>
            <w:vAlign w:val="center"/>
          </w:tcPr>
          <w:p>
            <w:pPr>
              <w:keepNext w:val="0"/>
              <w:keepLines w:val="0"/>
              <w:pageBreakBefore w:val="0"/>
              <w:kinsoku/>
              <w:overflowPunct/>
              <w:topLinePunct w:val="0"/>
              <w:autoSpaceDE/>
              <w:autoSpaceDN/>
              <w:bidi w:val="0"/>
              <w:spacing w:line="360" w:lineRule="auto"/>
              <w:jc w:val="righ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（%/月）</w:t>
            </w:r>
          </w:p>
        </w:tc>
        <w:tc>
          <w:tcPr>
            <w:tcW w:w="2415" w:type="dxa"/>
            <w:vAlign w:val="center"/>
          </w:tcPr>
          <w:p>
            <w:pPr>
              <w:keepNext w:val="0"/>
              <w:keepLines w:val="0"/>
              <w:pageBreakBefore w:val="0"/>
              <w:kinsoku/>
              <w:overflowPunct/>
              <w:topLinePunct w:val="0"/>
              <w:autoSpaceDE/>
              <w:autoSpaceDN/>
              <w:bidi w:val="0"/>
              <w:spacing w:line="360" w:lineRule="auto"/>
              <w:rPr>
                <w:rFonts w:hint="eastAsia" w:ascii="方正仿宋_GBK" w:hAnsi="方正仿宋_GBK" w:eastAsia="方正仿宋_GBK" w:cs="方正仿宋_GBK"/>
                <w:color w:val="auto"/>
                <w:sz w:val="32"/>
                <w:szCs w:val="32"/>
                <w:lang w:val="en-US" w:eastAsia="zh-CN"/>
              </w:rPr>
            </w:pPr>
          </w:p>
        </w:tc>
      </w:tr>
    </w:tbl>
    <w:p>
      <w:pPr>
        <w:pStyle w:val="2"/>
        <w:keepNext w:val="0"/>
        <w:keepLines w:val="0"/>
        <w:pageBreakBefore w:val="0"/>
        <w:kinsoku/>
        <w:overflowPunct/>
        <w:topLinePunct w:val="0"/>
        <w:autoSpaceDE/>
        <w:autoSpaceDN/>
        <w:bidi w:val="0"/>
        <w:rPr>
          <w:rFonts w:hint="eastAsia" w:ascii="方正仿宋_GBK" w:hAnsi="方正仿宋_GBK" w:eastAsia="方正仿宋_GBK" w:cs="方正仿宋_GBK"/>
          <w:color w:val="auto"/>
          <w:sz w:val="32"/>
          <w:szCs w:val="32"/>
        </w:rPr>
      </w:pPr>
    </w:p>
    <w:p>
      <w:pPr>
        <w:numPr>
          <w:ilvl w:val="0"/>
          <w:numId w:val="1"/>
        </w:num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向用户收取费用</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242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682" w:type="dxa"/>
            <w:vAlign w:val="center"/>
          </w:tcPr>
          <w:p>
            <w:pPr>
              <w:keepNext w:val="0"/>
              <w:keepLines w:val="0"/>
              <w:pageBreakBefore w:val="0"/>
              <w:kinsoku/>
              <w:overflowPunct/>
              <w:topLinePunct w:val="0"/>
              <w:autoSpaceDE/>
              <w:autoSpaceDN/>
              <w:bidi w:val="0"/>
              <w:spacing w:line="360" w:lineRule="auto"/>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w:t>
            </w:r>
          </w:p>
        </w:tc>
        <w:tc>
          <w:tcPr>
            <w:tcW w:w="2423" w:type="dxa"/>
            <w:vAlign w:val="center"/>
          </w:tcPr>
          <w:p>
            <w:pPr>
              <w:keepNext w:val="0"/>
              <w:keepLines w:val="0"/>
              <w:pageBreakBefore w:val="0"/>
              <w:kinsoku/>
              <w:overflowPunct/>
              <w:topLinePunct w:val="0"/>
              <w:autoSpaceDE/>
              <w:autoSpaceDN/>
              <w:bidi w:val="0"/>
              <w:spacing w:line="360" w:lineRule="auto"/>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价格</w:t>
            </w:r>
          </w:p>
        </w:tc>
        <w:tc>
          <w:tcPr>
            <w:tcW w:w="2415" w:type="dxa"/>
            <w:vAlign w:val="center"/>
          </w:tcPr>
          <w:p>
            <w:pPr>
              <w:keepNext w:val="0"/>
              <w:keepLines w:val="0"/>
              <w:pageBreakBefore w:val="0"/>
              <w:kinsoku/>
              <w:overflowPunct/>
              <w:topLinePunct w:val="0"/>
              <w:autoSpaceDE/>
              <w:autoSpaceDN/>
              <w:bidi w:val="0"/>
              <w:spacing w:line="360" w:lineRule="auto"/>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3682" w:type="dxa"/>
            <w:vAlign w:val="center"/>
          </w:tcPr>
          <w:p>
            <w:pPr>
              <w:keepNext w:val="0"/>
              <w:keepLines w:val="0"/>
              <w:pageBreakBefore w:val="0"/>
              <w:kinsoku/>
              <w:overflowPunct/>
              <w:topLinePunct w:val="0"/>
              <w:autoSpaceDE/>
              <w:autoSpaceDN/>
              <w:bidi w:val="0"/>
              <w:spacing w:line="360" w:lineRule="auto"/>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项目服务费</w:t>
            </w:r>
          </w:p>
        </w:tc>
        <w:tc>
          <w:tcPr>
            <w:tcW w:w="2423" w:type="dxa"/>
            <w:vAlign w:val="center"/>
          </w:tcPr>
          <w:p>
            <w:pPr>
              <w:keepNext w:val="0"/>
              <w:keepLines w:val="0"/>
              <w:pageBreakBefore w:val="0"/>
              <w:kinsoku/>
              <w:overflowPunct/>
              <w:topLinePunct w:val="0"/>
              <w:autoSpaceDE/>
              <w:autoSpaceDN/>
              <w:bidi w:val="0"/>
              <w:spacing w:line="360" w:lineRule="auto"/>
              <w:jc w:val="righ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元/天</w:t>
            </w:r>
            <w:r>
              <w:rPr>
                <w:rFonts w:hint="eastAsia" w:ascii="方正仿宋_GBK" w:hAnsi="方正仿宋_GBK" w:eastAsia="方正仿宋_GBK" w:cs="方正仿宋_GBK"/>
                <w:color w:val="auto"/>
                <w:sz w:val="32"/>
                <w:szCs w:val="32"/>
                <w:lang w:eastAsia="zh-CN"/>
              </w:rPr>
              <w:t>）</w:t>
            </w:r>
          </w:p>
        </w:tc>
        <w:tc>
          <w:tcPr>
            <w:tcW w:w="2415" w:type="dxa"/>
            <w:vAlign w:val="center"/>
          </w:tcPr>
          <w:p>
            <w:pPr>
              <w:keepNext w:val="0"/>
              <w:keepLines w:val="0"/>
              <w:pageBreakBefore w:val="0"/>
              <w:kinsoku/>
              <w:overflowPunct/>
              <w:topLinePunct w:val="0"/>
              <w:autoSpaceDE/>
              <w:autoSpaceDN/>
              <w:bidi w:val="0"/>
              <w:spacing w:line="360" w:lineRule="auto"/>
              <w:rPr>
                <w:rFonts w:hint="eastAsia" w:ascii="方正仿宋_GBK" w:hAnsi="方正仿宋_GBK" w:eastAsia="方正仿宋_GBK" w:cs="方正仿宋_GBK"/>
                <w:color w:val="auto"/>
                <w:sz w:val="32"/>
                <w:szCs w:val="32"/>
              </w:rPr>
            </w:pPr>
          </w:p>
        </w:tc>
      </w:tr>
    </w:tbl>
    <w:p>
      <w:pPr>
        <w:pStyle w:val="2"/>
        <w:numPr>
          <w:ilvl w:val="0"/>
          <w:numId w:val="0"/>
        </w:num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备注：①</w:t>
      </w:r>
      <w:r>
        <w:rPr>
          <w:rFonts w:hint="eastAsia" w:ascii="方正仿宋_GBK" w:hAnsi="方正仿宋_GBK" w:eastAsia="方正仿宋_GBK" w:cs="方正仿宋_GBK"/>
          <w:color w:val="auto"/>
          <w:sz w:val="32"/>
          <w:szCs w:val="32"/>
          <w:lang w:val="en-US" w:eastAsia="zh-CN"/>
        </w:rPr>
        <w:t>综合管理费、技术指导费</w:t>
      </w:r>
      <w:r>
        <w:rPr>
          <w:rFonts w:hint="eastAsia" w:ascii="方正仿宋_GBK" w:hAnsi="方正仿宋_GBK" w:eastAsia="方正仿宋_GBK" w:cs="方正仿宋_GBK"/>
          <w:color w:val="auto"/>
          <w:sz w:val="32"/>
          <w:szCs w:val="32"/>
        </w:rPr>
        <w:t>为医院实际所得费用。</w:t>
      </w:r>
    </w:p>
    <w:p>
      <w:pPr>
        <w:pStyle w:val="2"/>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w:t>
      </w:r>
      <w:r>
        <w:rPr>
          <w:rFonts w:hint="eastAsia" w:ascii="方正仿宋_GBK" w:hAnsi="方正仿宋_GBK" w:eastAsia="方正仿宋_GBK" w:cs="方正仿宋_GBK"/>
          <w:color w:val="auto"/>
          <w:sz w:val="32"/>
          <w:szCs w:val="32"/>
          <w:lang w:val="en-US" w:eastAsia="zh-CN"/>
        </w:rPr>
        <w:t>项目服务费为供应商与用户签订相关协议收取，医院不参与该过程。</w:t>
      </w:r>
    </w:p>
    <w:p>
      <w:pPr>
        <w:pStyle w:val="2"/>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③</w:t>
      </w:r>
      <w:r>
        <w:rPr>
          <w:rFonts w:hint="eastAsia" w:ascii="方正仿宋_GBK" w:hAnsi="方正仿宋_GBK" w:eastAsia="方正仿宋_GBK" w:cs="方正仿宋_GBK"/>
          <w:color w:val="auto"/>
          <w:sz w:val="32"/>
          <w:szCs w:val="32"/>
        </w:rPr>
        <w:t>报价是参选机构完成本项目全部工作内容的费用，包括完成本项目所涉及的人工劳务、设备投入、材料、知识产权、利润、风险、税金等一切费用。</w:t>
      </w:r>
    </w:p>
    <w:p>
      <w:pPr>
        <w:keepNext w:val="0"/>
        <w:keepLines w:val="0"/>
        <w:pageBreakBefore w:val="0"/>
        <w:kinsoku/>
        <w:overflowPunct/>
        <w:topLinePunct w:val="0"/>
        <w:autoSpaceDE/>
        <w:autoSpaceDN/>
        <w:bidi w:val="0"/>
        <w:rPr>
          <w:rFonts w:hint="eastAsia" w:ascii="方正仿宋_GBK" w:hAnsi="方正仿宋_GBK" w:eastAsia="方正仿宋_GBK" w:cs="方正仿宋_GBK"/>
          <w:color w:val="auto"/>
          <w:sz w:val="32"/>
          <w:szCs w:val="32"/>
        </w:rPr>
      </w:pPr>
    </w:p>
    <w:p>
      <w:pPr>
        <w:pStyle w:val="2"/>
        <w:keepNext w:val="0"/>
        <w:keepLines w:val="0"/>
        <w:pageBreakBefore w:val="0"/>
        <w:kinsoku/>
        <w:overflowPunct/>
        <w:topLinePunct w:val="0"/>
        <w:autoSpaceDE/>
        <w:autoSpaceDN/>
        <w:bidi w:val="0"/>
        <w:rPr>
          <w:rFonts w:hint="eastAsia" w:ascii="方正仿宋_GBK" w:hAnsi="方正仿宋_GBK" w:eastAsia="方正仿宋_GBK" w:cs="方正仿宋_GBK"/>
          <w:color w:val="auto"/>
          <w:sz w:val="32"/>
          <w:szCs w:val="32"/>
        </w:rPr>
      </w:pPr>
    </w:p>
    <w:p>
      <w:pPr>
        <w:keepNext w:val="0"/>
        <w:keepLines w:val="0"/>
        <w:pageBreakBefore w:val="0"/>
        <w:kinsoku/>
        <w:overflowPunct/>
        <w:topLinePunct w:val="0"/>
        <w:autoSpaceDE/>
        <w:autoSpaceDN/>
        <w:bidi w:val="0"/>
        <w:rPr>
          <w:rFonts w:hint="eastAsia" w:ascii="方正仿宋_GBK" w:hAnsi="方正仿宋_GBK" w:eastAsia="方正仿宋_GBK" w:cs="方正仿宋_GBK"/>
          <w:color w:val="auto"/>
          <w:sz w:val="32"/>
          <w:szCs w:val="32"/>
        </w:rPr>
      </w:pPr>
    </w:p>
    <w:p>
      <w:pPr>
        <w:pStyle w:val="2"/>
        <w:keepNext w:val="0"/>
        <w:keepLines w:val="0"/>
        <w:pageBreakBefore w:val="0"/>
        <w:kinsoku/>
        <w:overflowPunct/>
        <w:topLinePunct w:val="0"/>
        <w:autoSpaceDE/>
        <w:autoSpaceDN/>
        <w:bidi w:val="0"/>
        <w:rPr>
          <w:rFonts w:hint="default" w:ascii="Times New Roman" w:hAnsi="Times New Roman" w:cs="Times New Roman"/>
          <w:color w:val="auto"/>
        </w:rPr>
      </w:pPr>
    </w:p>
    <w:p>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color w:val="auto"/>
          <w:sz w:val="28"/>
          <w:szCs w:val="28"/>
          <w:lang w:val="en-US" w:eastAsia="zh-CN"/>
        </w:rPr>
        <w:t>附件3：</w:t>
      </w:r>
    </w:p>
    <w:p>
      <w:pPr>
        <w:pStyle w:val="2"/>
        <w:rPr>
          <w:rFonts w:hint="default"/>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u w:val="single"/>
          <w:lang w:val="zh-CN"/>
        </w:rPr>
        <w:t xml:space="preserve">          </w:t>
      </w:r>
      <w:r>
        <w:rPr>
          <w:rFonts w:hint="eastAsia" w:ascii="方正仿宋_GBK" w:hAnsi="方正仿宋_GBK" w:eastAsia="方正仿宋_GBK" w:cs="方正仿宋_GBK"/>
          <w:color w:val="auto"/>
          <w:sz w:val="28"/>
          <w:szCs w:val="28"/>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rPr>
        <w:t xml:space="preserve">   本授权声明：</w:t>
      </w:r>
      <w:r>
        <w:rPr>
          <w:rFonts w:hint="eastAsia" w:ascii="方正仿宋_GBK" w:hAnsi="方正仿宋_GBK" w:eastAsia="方正仿宋_GBK" w:cs="方正仿宋_GBK"/>
          <w:color w:val="auto"/>
          <w:sz w:val="28"/>
          <w:szCs w:val="28"/>
          <w:u w:val="single"/>
          <w:lang w:val="zh-CN"/>
        </w:rPr>
        <w:t xml:space="preserve">             </w:t>
      </w:r>
      <w:r>
        <w:rPr>
          <w:rFonts w:hint="eastAsia" w:ascii="方正仿宋_GBK" w:hAnsi="方正仿宋_GBK" w:eastAsia="方正仿宋_GBK" w:cs="方正仿宋_GBK"/>
          <w:color w:val="auto"/>
          <w:sz w:val="28"/>
          <w:szCs w:val="28"/>
          <w:lang w:val="zh-CN"/>
        </w:rPr>
        <w:t>（投标人名称）</w:t>
      </w:r>
      <w:r>
        <w:rPr>
          <w:rFonts w:hint="eastAsia" w:ascii="方正仿宋_GBK" w:hAnsi="方正仿宋_GBK" w:eastAsia="方正仿宋_GBK" w:cs="方正仿宋_GBK"/>
          <w:color w:val="auto"/>
          <w:sz w:val="28"/>
          <w:szCs w:val="28"/>
          <w:u w:val="single"/>
          <w:lang w:val="zh-CN"/>
        </w:rPr>
        <w:t xml:space="preserve">           </w:t>
      </w:r>
      <w:r>
        <w:rPr>
          <w:rFonts w:hint="eastAsia" w:ascii="方正仿宋_GBK" w:hAnsi="方正仿宋_GBK" w:eastAsia="方正仿宋_GBK" w:cs="方正仿宋_GBK"/>
          <w:color w:val="auto"/>
          <w:sz w:val="28"/>
          <w:szCs w:val="28"/>
          <w:lang w:val="zh-CN"/>
        </w:rPr>
        <w:t>（法定代表人姓名、职务）授权</w:t>
      </w:r>
      <w:r>
        <w:rPr>
          <w:rFonts w:hint="eastAsia" w:ascii="方正仿宋_GBK" w:hAnsi="方正仿宋_GBK" w:eastAsia="方正仿宋_GBK" w:cs="方正仿宋_GBK"/>
          <w:color w:val="auto"/>
          <w:sz w:val="28"/>
          <w:szCs w:val="28"/>
          <w:u w:val="single"/>
          <w:lang w:val="zh-CN"/>
        </w:rPr>
        <w:t xml:space="preserve">                          </w:t>
      </w:r>
      <w:r>
        <w:rPr>
          <w:rFonts w:hint="eastAsia" w:ascii="方正仿宋_GBK" w:hAnsi="方正仿宋_GBK" w:eastAsia="方正仿宋_GBK" w:cs="方正仿宋_GBK"/>
          <w:color w:val="auto"/>
          <w:sz w:val="28"/>
          <w:szCs w:val="28"/>
          <w:lang w:val="zh-CN"/>
        </w:rPr>
        <w:t>（被授权人姓名、职务）为我方</w:t>
      </w:r>
      <w:r>
        <w:rPr>
          <w:rFonts w:hint="eastAsia" w:ascii="方正仿宋_GBK" w:hAnsi="方正仿宋_GBK" w:eastAsia="方正仿宋_GBK" w:cs="方正仿宋_GBK"/>
          <w:color w:val="auto"/>
          <w:sz w:val="28"/>
          <w:szCs w:val="28"/>
          <w:u w:val="single"/>
          <w:lang w:val="zh-CN"/>
        </w:rPr>
        <w:t xml:space="preserve"> “                                          ”</w:t>
      </w:r>
      <w:r>
        <w:rPr>
          <w:rFonts w:hint="eastAsia" w:ascii="方正仿宋_GBK" w:hAnsi="方正仿宋_GBK" w:eastAsia="方正仿宋_GBK" w:cs="方正仿宋_GBK"/>
          <w:color w:val="auto"/>
          <w:sz w:val="28"/>
          <w:szCs w:val="28"/>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投标人名称：</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★说明：上述证明文件附有法定代表人、被授权代表身份证复印件（加盖公章）时才能生效。</w:t>
      </w:r>
      <w:bookmarkEnd w:id="0"/>
      <w:bookmarkEnd w:id="1"/>
      <w:bookmarkEnd w:id="2"/>
    </w:p>
    <w:p>
      <w:pPr>
        <w:keepNext w:val="0"/>
        <w:keepLines w:val="0"/>
        <w:pageBreakBefore w:val="0"/>
        <w:kinsoku/>
        <w:overflowPunct/>
        <w:topLinePunct w:val="0"/>
        <w:autoSpaceDE/>
        <w:autoSpaceDN/>
        <w:bidi w:val="0"/>
        <w:rPr>
          <w:rFonts w:hint="default" w:ascii="Times New Roman" w:hAnsi="Times New Roman" w:eastAsia="方正仿宋_GBK" w:cs="Times New Roman"/>
          <w:color w:val="auto"/>
          <w:sz w:val="22"/>
          <w:szCs w:val="28"/>
        </w:rPr>
      </w:pPr>
    </w:p>
    <w:p>
      <w:pPr>
        <w:keepNext w:val="0"/>
        <w:keepLines w:val="0"/>
        <w:pageBreakBefore w:val="0"/>
        <w:widowControl w:val="0"/>
        <w:kinsoku/>
        <w:overflowPunct/>
        <w:topLinePunct w:val="0"/>
        <w:autoSpaceDE/>
        <w:autoSpaceDN/>
        <w:bidi w:val="0"/>
        <w:ind w:firstLine="2100" w:firstLineChars="750"/>
        <w:jc w:val="both"/>
        <w:rPr>
          <w:rFonts w:hint="default" w:ascii="Times New Roman" w:hAnsi="Times New Roman" w:eastAsia="长城小标宋体" w:cs="Times New Roman"/>
          <w:color w:val="auto"/>
          <w:kern w:val="2"/>
          <w:sz w:val="28"/>
          <w:szCs w:val="22"/>
          <w:lang w:val="en-US" w:eastAsia="zh-CN" w:bidi="ar-SA"/>
        </w:rPr>
      </w:pPr>
      <w:r>
        <w:rPr>
          <w:rFonts w:hint="default" w:ascii="Times New Roman" w:hAnsi="Times New Roman" w:eastAsia="长城小标宋体" w:cs="Times New Roman"/>
          <w:color w:val="auto"/>
          <w:kern w:val="2"/>
          <w:sz w:val="28"/>
          <w:szCs w:val="22"/>
          <w:lang w:val="en-US" w:eastAsia="zh-CN" w:bidi="ar-SA"/>
        </w:rPr>
        <w:t xml:space="preserve"> </w:t>
      </w:r>
    </w:p>
    <w:p>
      <w:pPr>
        <w:keepNext w:val="0"/>
        <w:keepLines w:val="0"/>
        <w:pageBreakBefore w:val="0"/>
        <w:widowControl w:val="0"/>
        <w:kinsoku/>
        <w:overflowPunct/>
        <w:topLinePunct w:val="0"/>
        <w:autoSpaceDE/>
        <w:autoSpaceDN/>
        <w:bidi w:val="0"/>
        <w:ind w:firstLine="2100" w:firstLineChars="750"/>
        <w:jc w:val="both"/>
        <w:rPr>
          <w:rFonts w:hint="default" w:ascii="Times New Roman" w:hAnsi="Times New Roman" w:eastAsia="长城小标宋体" w:cs="Times New Roman"/>
          <w:color w:val="auto"/>
          <w:kern w:val="2"/>
          <w:sz w:val="28"/>
          <w:szCs w:val="22"/>
          <w:lang w:val="en-US" w:eastAsia="zh-CN" w:bidi="ar-SA"/>
        </w:rPr>
      </w:pPr>
    </w:p>
    <w:p>
      <w:pPr>
        <w:keepNext w:val="0"/>
        <w:keepLines w:val="0"/>
        <w:pageBreakBefore w:val="0"/>
        <w:widowControl w:val="0"/>
        <w:kinsoku/>
        <w:overflowPunct/>
        <w:topLinePunct w:val="0"/>
        <w:autoSpaceDE/>
        <w:autoSpaceDN/>
        <w:bidi w:val="0"/>
        <w:ind w:firstLine="2100" w:firstLineChars="750"/>
        <w:jc w:val="both"/>
        <w:rPr>
          <w:rFonts w:hint="default" w:ascii="Times New Roman" w:hAnsi="Times New Roman" w:eastAsia="长城小标宋体" w:cs="Times New Roman"/>
          <w:color w:val="auto"/>
          <w:kern w:val="2"/>
          <w:sz w:val="28"/>
          <w:szCs w:val="22"/>
          <w:lang w:val="en-US" w:eastAsia="zh-CN" w:bidi="ar-SA"/>
        </w:rPr>
      </w:pPr>
    </w:p>
    <w:p>
      <w:pPr>
        <w:keepNext w:val="0"/>
        <w:keepLines w:val="0"/>
        <w:pageBreakBefore w:val="0"/>
        <w:widowControl w:val="0"/>
        <w:kinsoku/>
        <w:overflowPunct/>
        <w:topLinePunct w:val="0"/>
        <w:autoSpaceDE/>
        <w:autoSpaceDN/>
        <w:bidi w:val="0"/>
        <w:ind w:firstLine="2100" w:firstLineChars="750"/>
        <w:jc w:val="both"/>
        <w:rPr>
          <w:rFonts w:hint="default" w:ascii="Times New Roman" w:hAnsi="Times New Roman" w:eastAsia="长城小标宋体" w:cs="Times New Roman"/>
          <w:color w:val="auto"/>
          <w:kern w:val="2"/>
          <w:sz w:val="28"/>
          <w:szCs w:val="22"/>
          <w:lang w:val="en-US" w:eastAsia="zh-CN" w:bidi="ar-SA"/>
        </w:rPr>
      </w:pPr>
    </w:p>
    <w:p>
      <w:pPr>
        <w:keepNext w:val="0"/>
        <w:keepLines w:val="0"/>
        <w:pageBreakBefore w:val="0"/>
        <w:widowControl w:val="0"/>
        <w:kinsoku/>
        <w:overflowPunct/>
        <w:topLinePunct w:val="0"/>
        <w:autoSpaceDE/>
        <w:autoSpaceDN/>
        <w:bidi w:val="0"/>
        <w:ind w:firstLine="2100" w:firstLineChars="750"/>
        <w:jc w:val="both"/>
        <w:rPr>
          <w:rFonts w:hint="default" w:ascii="Times New Roman" w:hAnsi="Times New Roman" w:eastAsia="长城小标宋体" w:cs="Times New Roman"/>
          <w:color w:val="auto"/>
          <w:kern w:val="2"/>
          <w:sz w:val="28"/>
          <w:szCs w:val="22"/>
          <w:lang w:val="en-US" w:eastAsia="zh-CN" w:bidi="ar-SA"/>
        </w:rPr>
      </w:pPr>
    </w:p>
    <w:p>
      <w:pPr>
        <w:keepNext w:val="0"/>
        <w:keepLines w:val="0"/>
        <w:pageBreakBefore w:val="0"/>
        <w:widowControl w:val="0"/>
        <w:kinsoku/>
        <w:overflowPunct/>
        <w:topLinePunct w:val="0"/>
        <w:autoSpaceDE/>
        <w:autoSpaceDN/>
        <w:bidi w:val="0"/>
        <w:ind w:firstLine="2100" w:firstLineChars="750"/>
        <w:jc w:val="both"/>
        <w:rPr>
          <w:rFonts w:hint="default" w:ascii="Times New Roman" w:hAnsi="Times New Roman" w:eastAsia="长城小标宋体" w:cs="Times New Roman"/>
          <w:color w:val="auto"/>
          <w:kern w:val="2"/>
          <w:sz w:val="28"/>
          <w:szCs w:val="22"/>
          <w:lang w:val="en-US" w:eastAsia="zh-CN" w:bidi="ar-SA"/>
        </w:rPr>
      </w:pPr>
    </w:p>
    <w:p>
      <w:pPr>
        <w:pStyle w:val="2"/>
        <w:keepNext w:val="0"/>
        <w:keepLines w:val="0"/>
        <w:pageBreakBefore w:val="0"/>
        <w:kinsoku/>
        <w:overflowPunct/>
        <w:topLinePunct w:val="0"/>
        <w:autoSpaceDE/>
        <w:autoSpaceDN/>
        <w:bidi w:val="0"/>
        <w:rPr>
          <w:rFonts w:hint="default" w:ascii="Times New Roman" w:hAnsi="Times New Roman" w:cs="Times New Roman"/>
          <w:color w:val="auto"/>
          <w:lang w:val="en-US" w:eastAsia="zh-CN"/>
        </w:rPr>
      </w:pPr>
    </w:p>
    <w:p>
      <w:pPr>
        <w:keepNext w:val="0"/>
        <w:keepLines w:val="0"/>
        <w:pageBreakBefore w:val="0"/>
        <w:widowControl w:val="0"/>
        <w:kinsoku/>
        <w:overflowPunct/>
        <w:topLinePunct w:val="0"/>
        <w:autoSpaceDE/>
        <w:autoSpaceDN/>
        <w:bidi w:val="0"/>
        <w:jc w:val="center"/>
        <w:rPr>
          <w:rFonts w:hint="default" w:ascii="Times New Roman" w:hAnsi="Times New Roman" w:eastAsia="方正小标宋_GBK" w:cs="Times New Roman"/>
          <w:color w:val="auto"/>
          <w:kern w:val="2"/>
          <w:sz w:val="28"/>
          <w:szCs w:val="22"/>
          <w:lang w:val="en-US" w:eastAsia="zh-CN" w:bidi="ar-SA"/>
        </w:rPr>
      </w:pPr>
      <w:r>
        <w:rPr>
          <w:rFonts w:hint="default" w:ascii="Times New Roman" w:hAnsi="Times New Roman" w:eastAsia="方正小标宋_GBK" w:cs="Times New Roman"/>
          <w:color w:val="auto"/>
          <w:kern w:val="2"/>
          <w:sz w:val="28"/>
          <w:szCs w:val="22"/>
          <w:lang w:val="en-US" w:eastAsia="zh-CN" w:bidi="ar-SA"/>
        </w:rPr>
        <w:t>无围标、串标行为承诺书</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本公司郑重承诺：我公司自觉遵守《中华人民共和国政府采购法》和《中华人民共和国政府采购法实施条例》的有关规定，我公司在参加本次采购活动中，无以下围标、串标行为：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的投标文件由同一单位或者个人编制；</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委托同一单位或者个人办理投标事宜；</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的投标文件载明的项目管理成员或者联系人员为同一人；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的投标文件异常一致或者投标报价呈规律性差异；</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的投标文件相互混装；</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的投标保证金从同一单位或者个人的账户转出；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7.不同</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的董事、监事、高管、单位负责人为同一人或者存在控股、管理关系的不同单位参加同一采购项目；</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之间事先约定由某一特定</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中标、成交；</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之间商定部分</w:t>
      </w:r>
      <w:r>
        <w:rPr>
          <w:rFonts w:hint="default" w:ascii="Times New Roman" w:hAnsi="Times New Roman" w:eastAsia="方正仿宋_GBK" w:cs="Times New Roman"/>
          <w:color w:val="auto"/>
          <w:kern w:val="0"/>
          <w:sz w:val="24"/>
          <w:szCs w:val="24"/>
          <w:lang w:eastAsia="zh-CN"/>
        </w:rPr>
        <w:t>机构</w:t>
      </w:r>
      <w:r>
        <w:rPr>
          <w:rFonts w:hint="default" w:ascii="Times New Roman" w:hAnsi="Times New Roman" w:eastAsia="方正仿宋_GBK" w:cs="Times New Roman"/>
          <w:color w:val="auto"/>
          <w:kern w:val="0"/>
          <w:sz w:val="24"/>
          <w:szCs w:val="24"/>
        </w:rPr>
        <w:t>放弃参加采购活动或者放弃中标、成交；</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10.法律法规界定的其他围标串标行为。</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投标人法人代表或委托代理人（承诺人） ：</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投标人：（公章）  </w:t>
      </w:r>
    </w:p>
    <w:p>
      <w:pPr>
        <w:keepNext w:val="0"/>
        <w:keepLines w:val="0"/>
        <w:pageBreakBefore w:val="0"/>
        <w:widowControl/>
        <w:shd w:val="clear" w:color="auto" w:fill="FFFFFF"/>
        <w:kinsoku/>
        <w:wordWrap w:val="0"/>
        <w:overflowPunct/>
        <w:topLinePunct w:val="0"/>
        <w:autoSpaceDE/>
        <w:autoSpaceDN/>
        <w:bidi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日期：   年    月    日</w:t>
      </w:r>
    </w:p>
    <w:p>
      <w:pPr>
        <w:pStyle w:val="2"/>
        <w:keepNext w:val="0"/>
        <w:keepLines w:val="0"/>
        <w:pageBreakBefore w:val="0"/>
        <w:kinsoku/>
        <w:overflowPunct/>
        <w:topLinePunct w:val="0"/>
        <w:autoSpaceDE/>
        <w:autoSpaceDN/>
        <w:bidi w:val="0"/>
        <w:rPr>
          <w:rFonts w:hint="default"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autoSpaceDN/>
        <w:bidi w:val="0"/>
        <w:rPr>
          <w:rFonts w:hint="default" w:ascii="Times New Roman" w:hAnsi="Times New Roman" w:cs="Times New Roman"/>
          <w:color w:val="auto"/>
        </w:rPr>
      </w:pPr>
    </w:p>
    <w:p>
      <w:pPr>
        <w:pStyle w:val="2"/>
        <w:keepNext w:val="0"/>
        <w:keepLines w:val="0"/>
        <w:pageBreakBefore w:val="0"/>
        <w:kinsoku/>
        <w:overflowPunct/>
        <w:topLinePunct w:val="0"/>
        <w:autoSpaceDE/>
        <w:autoSpaceDN/>
        <w:bidi w:val="0"/>
        <w:rPr>
          <w:rFonts w:hint="default" w:ascii="Times New Roman" w:hAnsi="Times New Roman" w:cs="Times New Roman"/>
          <w:color w:val="auto"/>
        </w:rPr>
      </w:pPr>
    </w:p>
    <w:p>
      <w:pPr>
        <w:keepNext w:val="0"/>
        <w:keepLines w:val="0"/>
        <w:pageBreakBefore w:val="0"/>
        <w:kinsoku/>
        <w:overflowPunct/>
        <w:topLinePunct w:val="0"/>
        <w:autoSpaceDE/>
        <w:autoSpaceDN/>
        <w:bidi w:val="0"/>
        <w:jc w:val="left"/>
        <w:outlineLvl w:val="0"/>
        <w:rPr>
          <w:rFonts w:hint="default" w:ascii="Times New Roman" w:hAnsi="Times New Roman" w:eastAsia="仿宋" w:cs="Times New Roman"/>
          <w:color w:val="auto"/>
          <w:sz w:val="28"/>
          <w:szCs w:val="28"/>
        </w:rPr>
      </w:pPr>
      <w:r>
        <w:rPr>
          <w:rFonts w:hint="eastAsia" w:ascii="方正黑体_GBK" w:hAnsi="方正黑体_GBK" w:eastAsia="方正黑体_GBK" w:cs="方正黑体_GBK"/>
          <w:color w:val="auto"/>
          <w:sz w:val="28"/>
          <w:szCs w:val="28"/>
        </w:rPr>
        <w:t>附件</w:t>
      </w:r>
      <w:r>
        <w:rPr>
          <w:rFonts w:hint="eastAsia" w:ascii="方正黑体_GBK" w:hAnsi="方正黑体_GBK" w:eastAsia="方正黑体_GBK" w:cs="方正黑体_GBK"/>
          <w:color w:val="auto"/>
          <w:sz w:val="28"/>
          <w:szCs w:val="28"/>
          <w:lang w:val="en-US" w:eastAsia="zh-CN"/>
        </w:rPr>
        <w:t>4</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z w:val="28"/>
          <w:szCs w:val="28"/>
        </w:rPr>
        <w:t xml:space="preserve">        </w:t>
      </w:r>
    </w:p>
    <w:p>
      <w:pPr>
        <w:keepNext w:val="0"/>
        <w:keepLines w:val="0"/>
        <w:pageBreakBefore w:val="0"/>
        <w:kinsoku/>
        <w:wordWrap/>
        <w:overflowPunct/>
        <w:topLinePunct w:val="0"/>
        <w:autoSpaceDE/>
        <w:autoSpaceDN/>
        <w:bidi w:val="0"/>
        <w:adjustRightInd/>
        <w:snapToGrid/>
        <w:spacing w:line="440" w:lineRule="exact"/>
        <w:jc w:val="center"/>
        <w:outlineLvl w:val="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评审办法（综合评分明细表）</w:t>
      </w:r>
    </w:p>
    <w:tbl>
      <w:tblPr>
        <w:tblStyle w:val="10"/>
        <w:tblW w:w="9323" w:type="dxa"/>
        <w:tblInd w:w="-611" w:type="dxa"/>
        <w:tblLayout w:type="fixed"/>
        <w:tblCellMar>
          <w:top w:w="0" w:type="dxa"/>
          <w:left w:w="0" w:type="dxa"/>
          <w:bottom w:w="0" w:type="dxa"/>
          <w:right w:w="0" w:type="dxa"/>
        </w:tblCellMar>
      </w:tblPr>
      <w:tblGrid>
        <w:gridCol w:w="1133"/>
        <w:gridCol w:w="1760"/>
        <w:gridCol w:w="890"/>
        <w:gridCol w:w="2670"/>
        <w:gridCol w:w="1400"/>
        <w:gridCol w:w="1470"/>
      </w:tblGrid>
      <w:tr>
        <w:tblPrEx>
          <w:tblLayout w:type="fixed"/>
          <w:tblCellMar>
            <w:top w:w="0" w:type="dxa"/>
            <w:left w:w="0" w:type="dxa"/>
            <w:bottom w:w="0" w:type="dxa"/>
            <w:right w:w="0" w:type="dxa"/>
          </w:tblCellMar>
        </w:tblPrEx>
        <w:trPr>
          <w:trHeight w:val="500"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t>序号</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t>评分因素及权重</w:t>
            </w:r>
          </w:p>
        </w:tc>
        <w:tc>
          <w:tcPr>
            <w:tcW w:w="8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t>分值</w:t>
            </w:r>
          </w:p>
        </w:tc>
        <w:tc>
          <w:tcPr>
            <w:tcW w:w="2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t>评分标准</w:t>
            </w:r>
          </w:p>
        </w:tc>
        <w:tc>
          <w:tcPr>
            <w:tcW w:w="14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t>得分</w:t>
            </w:r>
          </w:p>
        </w:tc>
        <w:tc>
          <w:tcPr>
            <w:tcW w:w="14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t>备注</w:t>
            </w:r>
          </w:p>
        </w:tc>
      </w:tr>
      <w:tr>
        <w:tblPrEx>
          <w:tblLayout w:type="fixed"/>
          <w:tblCellMar>
            <w:top w:w="0" w:type="dxa"/>
            <w:left w:w="0" w:type="dxa"/>
            <w:bottom w:w="0" w:type="dxa"/>
            <w:right w:w="0" w:type="dxa"/>
          </w:tblCellMar>
        </w:tblPrEx>
        <w:trPr>
          <w:trHeight w:val="1685" w:hRule="atLeast"/>
        </w:trPr>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1</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价格（30%）</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default" w:ascii="Times New Roman" w:hAnsi="Times New Roman" w:eastAsia="方正仿宋_GBK" w:cs="Times New Roman"/>
                <w:i w:val="0"/>
                <w:color w:val="auto"/>
                <w:kern w:val="0"/>
                <w:sz w:val="28"/>
                <w:szCs w:val="28"/>
                <w:u w:val="none"/>
                <w:lang w:val="en-US" w:eastAsia="zh-CN" w:bidi="ar"/>
              </w:rPr>
              <w:t>1.管理费：报价比例最高的投标报价为评标基准价，其价格为满分。其他投标人的价格分统一按照下列公式计算：投标报价得分=（投标报价/评标基准价）×</w:t>
            </w:r>
            <w:r>
              <w:rPr>
                <w:rFonts w:hint="eastAsia" w:ascii="Times New Roman" w:hAnsi="Times New Roman" w:eastAsia="方正仿宋_GBK" w:cs="Times New Roman"/>
                <w:i w:val="0"/>
                <w:color w:val="auto"/>
                <w:kern w:val="0"/>
                <w:sz w:val="28"/>
                <w:szCs w:val="28"/>
                <w:u w:val="none"/>
                <w:lang w:val="en-US" w:eastAsia="zh-CN" w:bidi="ar"/>
              </w:rPr>
              <w:t>12</w:t>
            </w:r>
            <w:r>
              <w:rPr>
                <w:rFonts w:hint="default" w:ascii="Times New Roman" w:hAnsi="Times New Roman" w:eastAsia="方正仿宋_GBK" w:cs="Times New Roman"/>
                <w:i w:val="0"/>
                <w:color w:val="auto"/>
                <w:kern w:val="0"/>
                <w:sz w:val="28"/>
                <w:szCs w:val="28"/>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0"/>
                <w:sz w:val="28"/>
                <w:szCs w:val="28"/>
                <w:lang w:bidi="ar"/>
              </w:rPr>
            </w:pPr>
          </w:p>
        </w:tc>
      </w:tr>
      <w:tr>
        <w:tblPrEx>
          <w:tblLayout w:type="fixed"/>
          <w:tblCellMar>
            <w:top w:w="0" w:type="dxa"/>
            <w:left w:w="0" w:type="dxa"/>
            <w:bottom w:w="0" w:type="dxa"/>
            <w:right w:w="0" w:type="dxa"/>
          </w:tblCellMar>
        </w:tblPrEx>
        <w:trPr>
          <w:trHeight w:val="592"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0"/>
                <w:sz w:val="28"/>
                <w:szCs w:val="28"/>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2</w:t>
            </w:r>
            <w:r>
              <w:rPr>
                <w:rFonts w:hint="default" w:ascii="Times New Roman" w:hAnsi="Times New Roman" w:eastAsia="方正仿宋_GBK" w:cs="Times New Roman"/>
                <w:i w:val="0"/>
                <w:color w:val="auto"/>
                <w:kern w:val="0"/>
                <w:sz w:val="28"/>
                <w:szCs w:val="28"/>
                <w:u w:val="none"/>
                <w:lang w:val="en-US" w:eastAsia="zh-CN" w:bidi="ar"/>
              </w:rPr>
              <w:t>.</w:t>
            </w:r>
            <w:r>
              <w:rPr>
                <w:rFonts w:hint="eastAsia" w:ascii="Times New Roman" w:hAnsi="Times New Roman" w:eastAsia="方正仿宋_GBK" w:cs="Times New Roman"/>
                <w:i w:val="0"/>
                <w:color w:val="auto"/>
                <w:kern w:val="0"/>
                <w:sz w:val="28"/>
                <w:szCs w:val="28"/>
                <w:u w:val="none"/>
                <w:lang w:val="en-US" w:eastAsia="zh-CN" w:bidi="ar"/>
              </w:rPr>
              <w:t>技术指导费</w:t>
            </w:r>
            <w:r>
              <w:rPr>
                <w:rFonts w:hint="default" w:ascii="Times New Roman" w:hAnsi="Times New Roman" w:eastAsia="方正仿宋_GBK" w:cs="Times New Roman"/>
                <w:i w:val="0"/>
                <w:color w:val="auto"/>
                <w:kern w:val="0"/>
                <w:sz w:val="28"/>
                <w:szCs w:val="28"/>
                <w:u w:val="none"/>
                <w:lang w:val="en-US" w:eastAsia="zh-CN" w:bidi="ar"/>
              </w:rPr>
              <w:t>：报价比例最高的投标报价为评标基准价，其价格为满分。其他投标人的价格分统一按照下列公式计算：投标报价得分=（投标报价/评标基准价）×</w:t>
            </w:r>
            <w:r>
              <w:rPr>
                <w:rFonts w:hint="eastAsia" w:ascii="Times New Roman" w:hAnsi="Times New Roman" w:eastAsia="方正仿宋_GBK" w:cs="Times New Roman"/>
                <w:i w:val="0"/>
                <w:color w:val="auto"/>
                <w:kern w:val="0"/>
                <w:sz w:val="28"/>
                <w:szCs w:val="28"/>
                <w:u w:val="none"/>
                <w:lang w:val="en-US" w:eastAsia="zh-CN" w:bidi="ar"/>
              </w:rPr>
              <w:t>12</w:t>
            </w:r>
            <w:r>
              <w:rPr>
                <w:rFonts w:hint="default" w:ascii="Times New Roman" w:hAnsi="Times New Roman" w:eastAsia="方正仿宋_GBK" w:cs="Times New Roman"/>
                <w:i w:val="0"/>
                <w:color w:val="auto"/>
                <w:kern w:val="0"/>
                <w:sz w:val="28"/>
                <w:szCs w:val="28"/>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0"/>
                <w:sz w:val="28"/>
                <w:szCs w:val="28"/>
                <w:lang w:bidi="ar"/>
              </w:rPr>
            </w:pPr>
          </w:p>
        </w:tc>
      </w:tr>
      <w:tr>
        <w:tblPrEx>
          <w:tblLayout w:type="fixed"/>
          <w:tblCellMar>
            <w:top w:w="0" w:type="dxa"/>
            <w:left w:w="0" w:type="dxa"/>
            <w:bottom w:w="0" w:type="dxa"/>
            <w:right w:w="0" w:type="dxa"/>
          </w:tblCellMar>
        </w:tblPrEx>
        <w:trPr>
          <w:trHeight w:val="592"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0"/>
                <w:sz w:val="28"/>
                <w:szCs w:val="28"/>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3</w:t>
            </w:r>
            <w:r>
              <w:rPr>
                <w:rFonts w:hint="default" w:ascii="Times New Roman" w:hAnsi="Times New Roman" w:eastAsia="方正仿宋_GBK" w:cs="Times New Roman"/>
                <w:i w:val="0"/>
                <w:color w:val="auto"/>
                <w:kern w:val="0"/>
                <w:sz w:val="28"/>
                <w:szCs w:val="28"/>
                <w:u w:val="none"/>
                <w:lang w:val="en-US" w:eastAsia="zh-CN" w:bidi="ar"/>
              </w:rPr>
              <w:t>.</w:t>
            </w:r>
            <w:r>
              <w:rPr>
                <w:rFonts w:hint="eastAsia" w:ascii="Times New Roman" w:hAnsi="Times New Roman" w:eastAsia="方正仿宋_GBK" w:cs="Times New Roman"/>
                <w:i w:val="0"/>
                <w:color w:val="auto"/>
                <w:kern w:val="0"/>
                <w:sz w:val="28"/>
                <w:szCs w:val="28"/>
                <w:u w:val="none"/>
                <w:lang w:val="en-US" w:eastAsia="zh-CN" w:bidi="ar"/>
              </w:rPr>
              <w:t>项目服务费</w:t>
            </w:r>
            <w:r>
              <w:rPr>
                <w:rFonts w:hint="default" w:ascii="Times New Roman" w:hAnsi="Times New Roman" w:eastAsia="方正仿宋_GBK" w:cs="Times New Roman"/>
                <w:i w:val="0"/>
                <w:color w:val="auto"/>
                <w:kern w:val="0"/>
                <w:sz w:val="28"/>
                <w:szCs w:val="28"/>
                <w:u w:val="none"/>
                <w:lang w:val="en-US" w:eastAsia="zh-CN" w:bidi="ar"/>
              </w:rPr>
              <w:t>：报价比例最高的投标报价为评标基准价，其价格为满分。其他投标人的价格分统一按照下列公式计算：投标报价得分=（投标报价/评标基准价）×</w:t>
            </w:r>
            <w:r>
              <w:rPr>
                <w:rFonts w:hint="eastAsia" w:ascii="Times New Roman" w:hAnsi="Times New Roman" w:eastAsia="方正仿宋_GBK" w:cs="Times New Roman"/>
                <w:i w:val="0"/>
                <w:color w:val="auto"/>
                <w:kern w:val="0"/>
                <w:sz w:val="28"/>
                <w:szCs w:val="28"/>
                <w:u w:val="none"/>
                <w:lang w:val="en-US" w:eastAsia="zh-CN" w:bidi="ar"/>
              </w:rPr>
              <w:t>6</w:t>
            </w:r>
            <w:r>
              <w:rPr>
                <w:rFonts w:hint="default" w:ascii="Times New Roman" w:hAnsi="Times New Roman" w:eastAsia="方正仿宋_GBK" w:cs="Times New Roman"/>
                <w:i w:val="0"/>
                <w:color w:val="auto"/>
                <w:kern w:val="0"/>
                <w:sz w:val="28"/>
                <w:szCs w:val="28"/>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0"/>
                <w:sz w:val="28"/>
                <w:szCs w:val="28"/>
                <w:lang w:bidi="ar"/>
              </w:rPr>
            </w:pPr>
          </w:p>
        </w:tc>
      </w:tr>
      <w:tr>
        <w:tblPrEx>
          <w:tblLayout w:type="fixed"/>
          <w:tblCellMar>
            <w:top w:w="0" w:type="dxa"/>
            <w:left w:w="0" w:type="dxa"/>
            <w:bottom w:w="0" w:type="dxa"/>
            <w:right w:w="0" w:type="dxa"/>
          </w:tblCellMar>
        </w:tblPrEx>
        <w:trPr>
          <w:trHeight w:val="592"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Times New Roman"/>
                <w:color w:val="auto"/>
                <w:kern w:val="0"/>
                <w:sz w:val="28"/>
                <w:szCs w:val="28"/>
                <w:lang w:val="en-US" w:eastAsia="zh-CN" w:bidi="ar"/>
              </w:rPr>
            </w:pPr>
            <w:r>
              <w:rPr>
                <w:rFonts w:hint="eastAsia" w:ascii="Times New Roman" w:hAnsi="Times New Roman" w:eastAsia="方正仿宋_GBK" w:cs="Times New Roman"/>
                <w:color w:val="auto"/>
                <w:kern w:val="0"/>
                <w:sz w:val="28"/>
                <w:szCs w:val="28"/>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技术要求（55%）</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55</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条款共11条，全部满足满分，缺一条扣5分。不完善前后，矛盾或有缺陷口2.5分。</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0"/>
                <w:sz w:val="28"/>
                <w:szCs w:val="28"/>
                <w:lang w:val="en-US" w:eastAsia="zh-CN" w:bidi="ar"/>
              </w:rPr>
            </w:pPr>
            <w:r>
              <w:rPr>
                <w:rFonts w:hint="eastAsia" w:ascii="Times New Roman" w:hAnsi="Times New Roman" w:eastAsia="方正仿宋_GBK" w:cs="Times New Roman"/>
                <w:color w:val="auto"/>
                <w:kern w:val="0"/>
                <w:sz w:val="28"/>
                <w:szCs w:val="28"/>
                <w:lang w:val="en-US" w:eastAsia="zh-CN" w:bidi="ar"/>
              </w:rPr>
              <w:t>响应内容提供承诺函或其他证明材料。并盖章</w:t>
            </w:r>
          </w:p>
        </w:tc>
      </w:tr>
      <w:tr>
        <w:tblPrEx>
          <w:tblLayout w:type="fixed"/>
          <w:tblCellMar>
            <w:top w:w="0" w:type="dxa"/>
            <w:left w:w="0" w:type="dxa"/>
            <w:bottom w:w="0" w:type="dxa"/>
            <w:right w:w="0" w:type="dxa"/>
          </w:tblCellMar>
        </w:tblPrEx>
        <w:trPr>
          <w:trHeight w:val="592"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0"/>
                <w:sz w:val="28"/>
                <w:szCs w:val="28"/>
                <w:lang w:val="en-US" w:eastAsia="zh-CN" w:bidi="ar"/>
              </w:rPr>
            </w:pPr>
            <w:r>
              <w:rPr>
                <w:rFonts w:hint="eastAsia" w:ascii="Times New Roman" w:hAnsi="Times New Roman" w:eastAsia="方正仿宋_GBK" w:cs="Times New Roman"/>
                <w:color w:val="auto"/>
                <w:kern w:val="0"/>
                <w:sz w:val="28"/>
                <w:szCs w:val="28"/>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业绩（6%）</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提供2020年以来类似合作案例，以3家为基数，满足得三分，不满足不得分。超过1加得1分。做多加3分。</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0"/>
                <w:sz w:val="28"/>
                <w:szCs w:val="28"/>
                <w:lang w:val="en-US" w:eastAsia="zh-CN" w:bidi="ar"/>
              </w:rPr>
            </w:pPr>
            <w:r>
              <w:rPr>
                <w:rFonts w:hint="eastAsia" w:ascii="Times New Roman" w:hAnsi="Times New Roman" w:eastAsia="方正仿宋_GBK" w:cs="Times New Roman"/>
                <w:color w:val="auto"/>
                <w:kern w:val="0"/>
                <w:sz w:val="28"/>
                <w:szCs w:val="28"/>
                <w:lang w:val="en-US" w:eastAsia="zh-CN" w:bidi="ar"/>
              </w:rPr>
              <w:t>提供合同复印件</w:t>
            </w:r>
          </w:p>
        </w:tc>
      </w:tr>
      <w:tr>
        <w:tblPrEx>
          <w:tblLayout w:type="fixed"/>
          <w:tblCellMar>
            <w:top w:w="0" w:type="dxa"/>
            <w:left w:w="0" w:type="dxa"/>
            <w:bottom w:w="0" w:type="dxa"/>
            <w:right w:w="0" w:type="dxa"/>
          </w:tblCellMar>
        </w:tblPrEx>
        <w:trPr>
          <w:trHeight w:val="592"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Times New Roman"/>
                <w:color w:val="auto"/>
                <w:kern w:val="0"/>
                <w:sz w:val="28"/>
                <w:szCs w:val="28"/>
                <w:lang w:val="en-US" w:eastAsia="zh-CN" w:bidi="ar"/>
              </w:rPr>
            </w:pP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合作方案与服务能力(9%)</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9</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_GBK" w:cs="Times New Roman"/>
                <w:i w:val="0"/>
                <w:color w:val="auto"/>
                <w:kern w:val="0"/>
                <w:sz w:val="28"/>
                <w:szCs w:val="28"/>
                <w:u w:val="none"/>
                <w:lang w:val="en-US" w:eastAsia="zh-CN" w:bidi="ar"/>
              </w:rPr>
            </w:pPr>
            <w:r>
              <w:rPr>
                <w:rFonts w:hint="eastAsia" w:ascii="Times New Roman" w:hAnsi="Times New Roman" w:eastAsia="方正仿宋_GBK" w:cs="Times New Roman"/>
                <w:i w:val="0"/>
                <w:color w:val="auto"/>
                <w:kern w:val="0"/>
                <w:sz w:val="28"/>
                <w:szCs w:val="28"/>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提供上述三项方案的，得9分，有一项未提供扣3分，扣完为止。提供证明材料并逐页加盖参选机构鲜章。</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auto"/>
                <w:kern w:val="0"/>
                <w:sz w:val="28"/>
                <w:szCs w:val="28"/>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0"/>
                <w:sz w:val="28"/>
                <w:szCs w:val="28"/>
                <w:lang w:val="en-US" w:eastAsia="zh-CN" w:bidi="ar"/>
              </w:rPr>
            </w:pPr>
            <w:r>
              <w:rPr>
                <w:rFonts w:hint="eastAsia" w:ascii="Times New Roman" w:hAnsi="Times New Roman" w:eastAsia="方正仿宋_GBK" w:cs="Times New Roman"/>
                <w:color w:val="auto"/>
                <w:kern w:val="0"/>
                <w:sz w:val="28"/>
                <w:szCs w:val="28"/>
                <w:lang w:val="en-US" w:eastAsia="zh-CN" w:bidi="ar"/>
              </w:rPr>
              <w:t>提供证明材料并逐页盖章。</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0"/>
      </w:tabs>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3A4A"/>
    <w:multiLevelType w:val="singleLevel"/>
    <w:tmpl w:val="65B43A4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12AAD"/>
    <w:rsid w:val="001F6CA9"/>
    <w:rsid w:val="00467DAA"/>
    <w:rsid w:val="004A5840"/>
    <w:rsid w:val="05D22B47"/>
    <w:rsid w:val="0A9E6A01"/>
    <w:rsid w:val="108709C5"/>
    <w:rsid w:val="11AD24E4"/>
    <w:rsid w:val="144B196A"/>
    <w:rsid w:val="159618C9"/>
    <w:rsid w:val="16396358"/>
    <w:rsid w:val="199B45A7"/>
    <w:rsid w:val="1C565704"/>
    <w:rsid w:val="1C98160E"/>
    <w:rsid w:val="1D807115"/>
    <w:rsid w:val="24BA2B37"/>
    <w:rsid w:val="24DC7A9B"/>
    <w:rsid w:val="26BD5602"/>
    <w:rsid w:val="2CBD69F7"/>
    <w:rsid w:val="2F7A3825"/>
    <w:rsid w:val="3176385E"/>
    <w:rsid w:val="3205668B"/>
    <w:rsid w:val="33313B23"/>
    <w:rsid w:val="352B45EF"/>
    <w:rsid w:val="38047ACA"/>
    <w:rsid w:val="3B200319"/>
    <w:rsid w:val="3D6B31F1"/>
    <w:rsid w:val="436B7FAF"/>
    <w:rsid w:val="53137E22"/>
    <w:rsid w:val="55A378C0"/>
    <w:rsid w:val="569F632B"/>
    <w:rsid w:val="5A522648"/>
    <w:rsid w:val="5BB378BB"/>
    <w:rsid w:val="5EA25999"/>
    <w:rsid w:val="72512AAD"/>
    <w:rsid w:val="743438DF"/>
    <w:rsid w:val="74E27F53"/>
    <w:rsid w:val="75123A0D"/>
    <w:rsid w:val="77B60B31"/>
    <w:rsid w:val="7FEE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Normal Indent"/>
    <w:basedOn w:val="1"/>
    <w:qFormat/>
    <w:uiPriority w:val="0"/>
    <w:pPr>
      <w:ind w:firstLine="420"/>
    </w:pPr>
    <w:rPr>
      <w:rFonts w:ascii="Times New Roman"/>
    </w:rPr>
  </w:style>
  <w:style w:type="paragraph" w:styleId="6">
    <w:name w:val="Body Text Indent"/>
    <w:basedOn w:val="1"/>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13">
    <w:name w:val="List Paragraph"/>
    <w:basedOn w:val="1"/>
    <w:qFormat/>
    <w:uiPriority w:val="99"/>
    <w:pPr>
      <w:ind w:firstLine="420" w:firstLineChars="200"/>
    </w:p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1461</Words>
  <Characters>1499</Characters>
  <Lines>52</Lines>
  <Paragraphs>14</Paragraphs>
  <TotalTime>3</TotalTime>
  <ScaleCrop>false</ScaleCrop>
  <LinksUpToDate>false</LinksUpToDate>
  <CharactersWithSpaces>1769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2023-06-13T02:13:00Z</dcterms:created>
  <dc:creator>杨沁菀</dc:creator>
  <cp:lastModifiedBy>昊蔚</cp:lastModifiedBy>
  <dcterms:modified xsi:type="dcterms:W3CDTF">2023-11-23T06:56:59Z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