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成都市金牛区妇幼保健院突发环境应急预案报价函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成都市金牛区妇幼保健院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参照《国家计委、国家环境保护总局关于规范环境影响咨询收费有关问题的通知》（计价格【2002】）125号文规定的相关标准，比照市场行情，根据不同项目的工作难易程度和建设单位的具体要求,在允许浮动范围内双方协商确定。参照市场行情以及根据项目的难易程度,我公司就：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shd w:val="clear" w:color="auto" w:fill="FFFFFF"/>
        </w:rPr>
        <w:t>成都市金牛区妇幼保健院突发环境应急预案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，报价为人民币：</w:t>
      </w:r>
      <w:r>
        <w:rPr>
          <w:rFonts w:hint="eastAsia" w:ascii="宋体" w:hAnsi="宋体" w:cs="宋体"/>
          <w:color w:val="000000"/>
          <w:sz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shd w:val="clear" w:color="auto" w:fill="FFFFFF"/>
        </w:rPr>
        <w:t>万元（大写：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sz w:val="24"/>
          <w:u w:val="single"/>
          <w:shd w:val="clear" w:color="auto" w:fill="FFFFFF"/>
        </w:rPr>
        <w:t>元整）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（到环境局应急科备案通过后付款）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上述费用包含：编制费、评审费、差旅费、打印费、税收</w:t>
      </w:r>
      <w:bookmarkStart w:id="0" w:name="_Toc95295163"/>
      <w:bookmarkStart w:id="1" w:name="_Toc237343703"/>
      <w:bookmarkStart w:id="2" w:name="_Toc174767233"/>
    </w:p>
    <w:p>
      <w:pPr>
        <w:pStyle w:val="2"/>
        <w:rPr>
          <w:rFonts w:hint="eastAsia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35562"/>
    <w:rsid w:val="1BC559EA"/>
    <w:rsid w:val="207774D0"/>
    <w:rsid w:val="27835562"/>
    <w:rsid w:val="38A43910"/>
    <w:rsid w:val="400B0D83"/>
    <w:rsid w:val="457D20E3"/>
    <w:rsid w:val="4A1C1C44"/>
    <w:rsid w:val="5BB4619A"/>
    <w:rsid w:val="72C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2023-06-12T02:48:00Z</dcterms:created>
  <dc:creator>昊蔚</dc:creator>
  <cp:lastModifiedBy>昊蔚</cp:lastModifiedBy>
  <dcterms:modified xsi:type="dcterms:W3CDTF">2023-06-12T06:12:02Z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