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采购一批办公家具</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70"/>
        <w:gridCol w:w="1230"/>
        <w:gridCol w:w="2250"/>
        <w:gridCol w:w="510"/>
        <w:gridCol w:w="510"/>
        <w:gridCol w:w="2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办公家具明细清单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产品名称</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规格（CM）</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小走廊</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单人沙发椅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标准</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茶几</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600*730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两边走廊</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靠背椅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标准</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VIP休息室</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小矮柜</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长550*深400*高800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文件柜</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1400*400*2000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诊疗台</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2800*1600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诊疗椅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医助椅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病员椅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2+1沙发</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茶几</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小矮柜</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400*600*800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遮挡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办公室</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洗手池</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900*480*800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文件柜</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1400*400*2000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诊疗台</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2800*1600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诊疗椅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医助椅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病员椅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美容室</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乳胶美容床</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1800*700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美容凳</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隔断</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2400*300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片</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洗手台</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800*600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柜体</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2800*800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白色柜体 台面要石材的，要放一个冰箱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卸妆室</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柜子</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1250*300*220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白色柜体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桌子</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1200*450*750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单人沙发椅</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卸妆桌子</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1200*400*760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卸妆镜子</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55cm</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沙发凳子</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常规</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隔断</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2400*300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片</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储物柜</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4200*500*2000</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w:t>
            </w:r>
          </w:p>
        </w:tc>
        <w:tc>
          <w:tcPr>
            <w:tcW w:w="26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矮柜</w:t>
            </w:r>
          </w:p>
        </w:tc>
        <w:tc>
          <w:tcPr>
            <w:tcW w:w="225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760*800*950</w:t>
            </w:r>
          </w:p>
        </w:tc>
        <w:tc>
          <w:tcPr>
            <w:tcW w:w="51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170" w:type="dxa"/>
            <w:vMerge w:val="restart"/>
            <w:tcBorders>
              <w:top w:val="single" w:color="auto" w:sz="4" w:space="0"/>
              <w:left w:val="single" w:color="auto"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公区</w:t>
            </w:r>
          </w:p>
        </w:tc>
        <w:tc>
          <w:tcPr>
            <w:tcW w:w="1230" w:type="dxa"/>
            <w:vMerge w:val="restart"/>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小矮柜</w:t>
            </w:r>
          </w:p>
        </w:tc>
        <w:tc>
          <w:tcPr>
            <w:tcW w:w="2250"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600*300 </w:t>
            </w:r>
          </w:p>
        </w:tc>
        <w:tc>
          <w:tcPr>
            <w:tcW w:w="510"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510" w:type="dxa"/>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做洗手台旁边的遮挡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70" w:type="dxa"/>
            <w:vMerge w:val="continue"/>
            <w:tcBorders>
              <w:left w:val="single" w:color="auto" w:sz="4" w:space="0"/>
              <w:bottom w:val="single" w:color="auto"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5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700*300</w:t>
            </w:r>
          </w:p>
        </w:tc>
        <w:tc>
          <w:tcPr>
            <w:tcW w:w="51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510"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2666" w:type="dxa"/>
            <w:tcBorders>
              <w:top w:val="single" w:color="000000" w:sz="4" w:space="0"/>
              <w:left w:val="single" w:color="000000" w:sz="4" w:space="0"/>
              <w:bottom w:val="single" w:color="auto" w:sz="4" w:space="0"/>
              <w:right w:val="single" w:color="auto"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336" w:type="dxa"/>
            <w:gridSpan w:val="6"/>
            <w:tcBorders>
              <w:top w:val="single" w:color="auto"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具体要求见PDF附件</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供应商负责设备的运输，保证其性能与质量，不得提供不符合质量规范或是三无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营业执照（副本）</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10.相关产品类似业绩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4C2763C"/>
    <w:rsid w:val="066308D4"/>
    <w:rsid w:val="08AB1D14"/>
    <w:rsid w:val="0A077BEA"/>
    <w:rsid w:val="0AED3E32"/>
    <w:rsid w:val="0C9055B6"/>
    <w:rsid w:val="0CEE6A14"/>
    <w:rsid w:val="0D820ED4"/>
    <w:rsid w:val="0E0C3410"/>
    <w:rsid w:val="0EBA4E8E"/>
    <w:rsid w:val="0F937A5A"/>
    <w:rsid w:val="0FE413DC"/>
    <w:rsid w:val="1162444E"/>
    <w:rsid w:val="117F2E61"/>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1DF6A30"/>
    <w:rsid w:val="23815E23"/>
    <w:rsid w:val="24E574D0"/>
    <w:rsid w:val="25EF0E68"/>
    <w:rsid w:val="26556455"/>
    <w:rsid w:val="281F755F"/>
    <w:rsid w:val="28402FD3"/>
    <w:rsid w:val="2D656537"/>
    <w:rsid w:val="2E291F3F"/>
    <w:rsid w:val="2EEB2D3F"/>
    <w:rsid w:val="30BD1723"/>
    <w:rsid w:val="315D39FD"/>
    <w:rsid w:val="330C0E19"/>
    <w:rsid w:val="345E6E00"/>
    <w:rsid w:val="36B21F81"/>
    <w:rsid w:val="39A83D55"/>
    <w:rsid w:val="39DE699F"/>
    <w:rsid w:val="3B8F401D"/>
    <w:rsid w:val="3BD81F61"/>
    <w:rsid w:val="3C4E276F"/>
    <w:rsid w:val="3CB56187"/>
    <w:rsid w:val="3DAE77A5"/>
    <w:rsid w:val="432D326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0059EB"/>
    <w:rsid w:val="52527665"/>
    <w:rsid w:val="541F283F"/>
    <w:rsid w:val="54A83452"/>
    <w:rsid w:val="552E4660"/>
    <w:rsid w:val="567021B6"/>
    <w:rsid w:val="569D0EED"/>
    <w:rsid w:val="57AF75B9"/>
    <w:rsid w:val="581F64F9"/>
    <w:rsid w:val="5A06338A"/>
    <w:rsid w:val="5CCC3A4B"/>
    <w:rsid w:val="5D9A4294"/>
    <w:rsid w:val="5E1967D1"/>
    <w:rsid w:val="5E73272A"/>
    <w:rsid w:val="5E886BC3"/>
    <w:rsid w:val="5EF50BEA"/>
    <w:rsid w:val="5F6B7A0E"/>
    <w:rsid w:val="611D0AAE"/>
    <w:rsid w:val="616A08BA"/>
    <w:rsid w:val="61F94671"/>
    <w:rsid w:val="620601C7"/>
    <w:rsid w:val="621F4120"/>
    <w:rsid w:val="64497EEA"/>
    <w:rsid w:val="648A1EC2"/>
    <w:rsid w:val="649E29D3"/>
    <w:rsid w:val="65033D9C"/>
    <w:rsid w:val="657D120C"/>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2023-05-18T14:44:24Z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