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方正小标宋_GBK" w:cs="Times New Roman"/>
          <w:b w:val="0"/>
          <w:i w:val="0"/>
          <w:caps w:val="0"/>
          <w:color w:val="auto"/>
          <w:spacing w:val="0"/>
          <w:sz w:val="44"/>
          <w:szCs w:val="44"/>
          <w:shd w:val="clear" w:fill="FFFFFF"/>
          <w:lang w:val="en-US" w:eastAsia="zh-CN"/>
        </w:rPr>
      </w:pPr>
      <w:r>
        <w:rPr>
          <w:rFonts w:hint="default" w:ascii="Times New Roman" w:hAnsi="Times New Roman" w:eastAsia="方正小标宋_GBK" w:cs="Times New Roman"/>
          <w:b w:val="0"/>
          <w:i w:val="0"/>
          <w:caps w:val="0"/>
          <w:color w:val="auto"/>
          <w:spacing w:val="0"/>
          <w:sz w:val="44"/>
          <w:szCs w:val="44"/>
          <w:shd w:val="clear" w:fill="FFFFFF"/>
          <w:lang w:val="en-US" w:eastAsia="zh-CN"/>
        </w:rPr>
        <w:t>成都市金牛区妇幼保健院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Times New Roman" w:hAnsi="Times New Roman" w:eastAsia="方正小标宋_GBK" w:cs="Times New Roman"/>
          <w:b w:val="0"/>
          <w:i w:val="0"/>
          <w:caps w:val="0"/>
          <w:color w:val="auto"/>
          <w:spacing w:val="0"/>
          <w:sz w:val="44"/>
          <w:szCs w:val="44"/>
          <w:lang w:val="en-US" w:eastAsia="zh-CN"/>
        </w:rPr>
      </w:pPr>
      <w:r>
        <w:rPr>
          <w:rFonts w:hint="default" w:ascii="Times New Roman" w:hAnsi="Times New Roman" w:eastAsia="方正小标宋_GBK" w:cs="Times New Roman"/>
          <w:b w:val="0"/>
          <w:i w:val="0"/>
          <w:caps w:val="0"/>
          <w:color w:val="auto"/>
          <w:spacing w:val="0"/>
          <w:sz w:val="44"/>
          <w:szCs w:val="44"/>
          <w:shd w:val="clear" w:fill="FFFFFF"/>
          <w:lang w:val="en-US" w:eastAsia="zh-CN"/>
        </w:rPr>
        <w:t>院内</w:t>
      </w:r>
      <w:r>
        <w:rPr>
          <w:rFonts w:hint="eastAsia" w:ascii="Times New Roman" w:hAnsi="Times New Roman" w:eastAsia="方正小标宋_GBK" w:cs="Times New Roman"/>
          <w:b w:val="0"/>
          <w:i w:val="0"/>
          <w:caps w:val="0"/>
          <w:color w:val="auto"/>
          <w:spacing w:val="0"/>
          <w:sz w:val="44"/>
          <w:szCs w:val="44"/>
          <w:shd w:val="clear" w:fill="FFFFFF"/>
          <w:lang w:val="en-US" w:eastAsia="zh-CN"/>
        </w:rPr>
        <w:t>比选</w:t>
      </w:r>
      <w:r>
        <w:rPr>
          <w:rFonts w:hint="default" w:ascii="Times New Roman" w:hAnsi="Times New Roman" w:eastAsia="方正小标宋_GBK" w:cs="Times New Roman"/>
          <w:b w:val="0"/>
          <w:i w:val="0"/>
          <w:caps w:val="0"/>
          <w:color w:val="auto"/>
          <w:spacing w:val="0"/>
          <w:sz w:val="44"/>
          <w:szCs w:val="44"/>
          <w:shd w:val="clear" w:fill="FFFFFF"/>
        </w:rPr>
        <w:t>公</w:t>
      </w:r>
      <w:r>
        <w:rPr>
          <w:rFonts w:hint="eastAsia" w:ascii="Times New Roman" w:hAnsi="Times New Roman" w:eastAsia="方正小标宋_GBK" w:cs="Times New Roman"/>
          <w:b w:val="0"/>
          <w:i w:val="0"/>
          <w:caps w:val="0"/>
          <w:color w:val="auto"/>
          <w:spacing w:val="0"/>
          <w:sz w:val="44"/>
          <w:szCs w:val="44"/>
          <w:shd w:val="clear" w:fill="FFFFFF"/>
          <w:lang w:val="en-US" w:eastAsia="zh-CN"/>
        </w:rPr>
        <w:t>告</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一、项目名称：基因检测外包服务项目</w:t>
      </w:r>
      <w:r>
        <w:rPr>
          <w:rFonts w:hint="eastAsia" w:ascii="Times New Roman" w:hAnsi="Times New Roman" w:eastAsia="方正仿宋_GBK" w:cs="Times New Roman"/>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二、本项目在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成都市金牛区妇幼保健院官网</w:t>
      </w:r>
      <w:r>
        <w:rPr>
          <w:rFonts w:hint="default" w:ascii="Times New Roman" w:hAnsi="Times New Roman" w:eastAsia="方正仿宋_GBK" w:cs="Times New Roman"/>
          <w:i w:val="0"/>
          <w:caps w:val="0"/>
          <w:color w:val="auto"/>
          <w:spacing w:val="0"/>
          <w:sz w:val="32"/>
          <w:szCs w:val="32"/>
          <w:shd w:val="clear" w:fill="FFFFFF"/>
        </w:rPr>
        <w:t>主页(http://www.cdjnbjy.com)上公开发布（提供免费下载），供符合条件的生产企业、经营企业以及潜在供应商前来参加。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三、期限：自发布之日起至202</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21</w:t>
      </w:r>
      <w:r>
        <w:rPr>
          <w:rFonts w:hint="default" w:ascii="Times New Roman" w:hAnsi="Times New Roman" w:eastAsia="方正仿宋_GBK" w:cs="Times New Roman"/>
          <w:i w:val="0"/>
          <w:caps w:val="0"/>
          <w:color w:val="auto"/>
          <w:spacing w:val="0"/>
          <w:sz w:val="32"/>
          <w:szCs w:val="32"/>
          <w:shd w:val="clear" w:fill="FFFFFF"/>
        </w:rPr>
        <w:t>日。请满足要求的服务商到我院</w:t>
      </w:r>
      <w:r>
        <w:rPr>
          <w:rFonts w:hint="eastAsia" w:ascii="Times New Roman" w:hAnsi="Times New Roman" w:eastAsia="方正仿宋_GBK" w:cs="Times New Roman"/>
          <w:i w:val="0"/>
          <w:caps w:val="0"/>
          <w:color w:val="auto"/>
          <w:spacing w:val="0"/>
          <w:sz w:val="32"/>
          <w:szCs w:val="32"/>
          <w:shd w:val="clear" w:fill="FFFFFF"/>
          <w:lang w:val="en-US" w:eastAsia="zh-CN"/>
        </w:rPr>
        <w:t>2号楼501</w:t>
      </w:r>
      <w:r>
        <w:rPr>
          <w:rFonts w:hint="default" w:ascii="Times New Roman" w:hAnsi="Times New Roman" w:eastAsia="方正仿宋_GBK" w:cs="Times New Roman"/>
          <w:i w:val="0"/>
          <w:caps w:val="0"/>
          <w:color w:val="auto"/>
          <w:spacing w:val="0"/>
          <w:sz w:val="32"/>
          <w:szCs w:val="32"/>
          <w:shd w:val="clear" w:fill="FFFFFF"/>
          <w:lang w:val="en-US" w:eastAsia="zh-CN"/>
        </w:rPr>
        <w:t>院务部</w:t>
      </w:r>
      <w:r>
        <w:rPr>
          <w:rFonts w:hint="default" w:ascii="Times New Roman" w:hAnsi="Times New Roman" w:eastAsia="方正仿宋_GBK" w:cs="Times New Roman"/>
          <w:i w:val="0"/>
          <w:caps w:val="0"/>
          <w:color w:val="auto"/>
          <w:spacing w:val="0"/>
          <w:sz w:val="32"/>
          <w:szCs w:val="32"/>
          <w:shd w:val="clear" w:fill="FFFFFF"/>
        </w:rPr>
        <w:t>提交资料。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四、项目需求（见附件1）。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五、提供真实齐全的资质证明文件一份（保证所提供的各种材料和证明材料的真实性，承担相应的法律责任，并请按照下面的顺序装订）：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3.经办人授权委托书（原件）。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4.报价一览表（格式见附件2）。</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5.</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技术服务和支持方案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6.项目实施保障措施及服务质量承诺方案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7.售后服务方案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8.应急方案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9.检验实力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六、其他说明：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1.根据要求及自身实际用A4纸编制书，严格按上述第五条的装订顺序对所列包每样仪器设备分开编制，须标注页码</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并密封。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2.提供的所有资料须加盖鲜章。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.特别申明：现公示的项目需求因市场了解的局限性，无任何针对性，如有不全之处，敬请理解。对未公示的需求，请各潜在服务商自行提供。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638" w:leftChars="304" w:right="0" w:firstLine="0" w:firstLineChars="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地</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址：成都市</w:t>
      </w:r>
      <w:r>
        <w:rPr>
          <w:rFonts w:hint="default" w:ascii="Times New Roman" w:hAnsi="Times New Roman" w:eastAsia="方正仿宋_GBK" w:cs="Times New Roman"/>
          <w:i w:val="0"/>
          <w:caps w:val="0"/>
          <w:color w:val="auto"/>
          <w:spacing w:val="0"/>
          <w:sz w:val="32"/>
          <w:szCs w:val="32"/>
          <w:shd w:val="clear" w:fill="FFFFFF"/>
          <w:lang w:val="en-US" w:eastAsia="zh-CN"/>
        </w:rPr>
        <w:t>金牛区长月路12号</w:t>
      </w:r>
      <w:r>
        <w:rPr>
          <w:rFonts w:hint="default" w:ascii="Times New Roman" w:hAnsi="Times New Roman" w:eastAsia="方正仿宋_GBK" w:cs="Times New Roman"/>
          <w:i w:val="0"/>
          <w:caps w:val="0"/>
          <w:color w:val="auto"/>
          <w:spacing w:val="0"/>
          <w:sz w:val="32"/>
          <w:szCs w:val="32"/>
          <w:shd w:val="clear" w:fill="FFFFFF"/>
        </w:rPr>
        <w:br w:type="textWrapping"/>
      </w:r>
      <w:r>
        <w:rPr>
          <w:rFonts w:hint="default" w:ascii="Times New Roman" w:hAnsi="Times New Roman" w:eastAsia="方正仿宋_GBK" w:cs="Times New Roman"/>
          <w:i w:val="0"/>
          <w:caps w:val="0"/>
          <w:color w:val="auto"/>
          <w:spacing w:val="0"/>
          <w:sz w:val="32"/>
          <w:szCs w:val="32"/>
          <w:shd w:val="clear" w:fill="FFFFFF"/>
        </w:rPr>
        <w:t>联系人：</w:t>
      </w:r>
      <w:r>
        <w:rPr>
          <w:rFonts w:hint="default" w:ascii="Times New Roman" w:hAnsi="Times New Roman" w:eastAsia="方正仿宋_GBK" w:cs="Times New Roman"/>
          <w:i w:val="0"/>
          <w:caps w:val="0"/>
          <w:color w:val="auto"/>
          <w:spacing w:val="0"/>
          <w:sz w:val="32"/>
          <w:szCs w:val="32"/>
          <w:shd w:val="clear" w:fill="FFFFFF"/>
          <w:lang w:val="en-US" w:eastAsia="zh-CN"/>
        </w:rPr>
        <w:t>张</w:t>
      </w:r>
      <w:r>
        <w:rPr>
          <w:rFonts w:hint="default" w:ascii="Times New Roman" w:hAnsi="Times New Roman" w:eastAsia="方正仿宋_GBK" w:cs="Times New Roman"/>
          <w:i w:val="0"/>
          <w:caps w:val="0"/>
          <w:color w:val="auto"/>
          <w:spacing w:val="0"/>
          <w:sz w:val="32"/>
          <w:szCs w:val="32"/>
          <w:shd w:val="clear" w:fill="FFFFFF"/>
        </w:rPr>
        <w:t>老师</w:t>
      </w:r>
      <w:r>
        <w:rPr>
          <w:rFonts w:hint="default" w:ascii="Times New Roman" w:hAnsi="Times New Roman" w:eastAsia="方正仿宋_GBK" w:cs="Times New Roman"/>
          <w:i w:val="0"/>
          <w:caps w:val="0"/>
          <w:color w:val="auto"/>
          <w:spacing w:val="0"/>
          <w:sz w:val="32"/>
          <w:szCs w:val="32"/>
          <w:shd w:val="clear" w:fill="FFFFFF"/>
        </w:rPr>
        <w:br w:type="textWrapping"/>
      </w:r>
      <w:r>
        <w:rPr>
          <w:rFonts w:hint="default" w:ascii="Times New Roman" w:hAnsi="Times New Roman" w:eastAsia="方正仿宋_GBK" w:cs="Times New Roman"/>
          <w:i w:val="0"/>
          <w:caps w:val="0"/>
          <w:color w:val="auto"/>
          <w:spacing w:val="0"/>
          <w:sz w:val="32"/>
          <w:szCs w:val="32"/>
          <w:shd w:val="clear" w:fill="FFFFFF"/>
        </w:rPr>
        <w:t>电</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话：</w:t>
      </w:r>
      <w:r>
        <w:rPr>
          <w:rFonts w:hint="default" w:ascii="Times New Roman" w:hAnsi="Times New Roman" w:eastAsia="方正仿宋_GBK" w:cs="Times New Roman"/>
          <w:i w:val="0"/>
          <w:caps w:val="0"/>
          <w:color w:val="auto"/>
          <w:spacing w:val="0"/>
          <w:sz w:val="32"/>
          <w:szCs w:val="32"/>
          <w:shd w:val="clear" w:fill="FFFFFF"/>
          <w:lang w:val="en-US" w:eastAsia="zh-CN"/>
        </w:rPr>
        <w:t>028-68938000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附件：</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项目需求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1600" w:firstLineChars="5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用户情况表</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hd w:val="clear" w:color="auto" w:fill="FFFFFF"/>
        <w:wordWrap w:val="0"/>
        <w:jc w:val="left"/>
        <w:rPr>
          <w:rFonts w:hint="default" w:ascii="Times New Roman" w:hAnsi="Times New Roman" w:eastAsia="方正黑体_GBK" w:cs="Times New Roman"/>
          <w:b w:val="0"/>
          <w:bCs/>
          <w:color w:val="333333"/>
          <w:kern w:val="0"/>
          <w:sz w:val="30"/>
          <w:szCs w:val="30"/>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方正黑体_GBK" w:cs="Times New Roman"/>
          <w:b w:val="0"/>
          <w:bCs/>
          <w:color w:val="333333"/>
          <w:kern w:val="0"/>
          <w:sz w:val="30"/>
          <w:szCs w:val="30"/>
          <w:lang w:eastAsia="zh-CN"/>
        </w:rPr>
      </w:pPr>
      <w:r>
        <w:rPr>
          <w:rFonts w:hint="default" w:ascii="Times New Roman" w:hAnsi="Times New Roman" w:eastAsia="方正黑体_GBK" w:cs="Times New Roman"/>
          <w:b w:val="0"/>
          <w:bCs/>
          <w:color w:val="333333"/>
          <w:kern w:val="0"/>
          <w:sz w:val="30"/>
          <w:szCs w:val="30"/>
        </w:rPr>
        <w:t>附件</w:t>
      </w:r>
      <w:r>
        <w:rPr>
          <w:rFonts w:hint="eastAsia" w:ascii="Times New Roman" w:hAnsi="Times New Roman" w:eastAsia="方正黑体_GBK" w:cs="Times New Roman"/>
          <w:b w:val="0"/>
          <w:bCs/>
          <w:color w:val="333333"/>
          <w:kern w:val="0"/>
          <w:sz w:val="30"/>
          <w:szCs w:val="30"/>
          <w:lang w:val="en-US" w:eastAsia="zh-CN"/>
        </w:rPr>
        <w:t>1</w:t>
      </w:r>
    </w:p>
    <w:p>
      <w:pPr>
        <w:pStyle w:val="3"/>
        <w:keepNext w:val="0"/>
        <w:keepLines w:val="0"/>
        <w:pageBreakBefore w:val="0"/>
        <w:kinsoku/>
        <w:overflowPunct/>
        <w:topLinePunct w:val="0"/>
        <w:autoSpaceDE/>
        <w:autoSpaceDN/>
        <w:bidi w:val="0"/>
        <w:adjustRightInd/>
        <w:snapToGrid/>
        <w:spacing w:beforeAutospacing="0" w:afterAutospacing="0" w:line="240" w:lineRule="auto"/>
        <w:textAlignment w:val="auto"/>
        <w:rPr>
          <w:color w:val="000000" w:themeColor="text1"/>
          <w:highlight w:val="none"/>
          <w:u w:val="none"/>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一</w:t>
      </w:r>
      <w:r>
        <w:rPr>
          <w:rFonts w:hint="eastAsia"/>
          <w:color w:val="000000" w:themeColor="text1"/>
          <w:highlight w:val="none"/>
          <w:u w:val="none"/>
          <w14:textFill>
            <w14:solidFill>
              <w14:schemeClr w14:val="tx1"/>
            </w14:solidFill>
          </w14:textFill>
        </w:rPr>
        <w:t>、商务要求</w:t>
      </w:r>
    </w:p>
    <w:p>
      <w:pPr>
        <w:keepNext w:val="0"/>
        <w:keepLines w:val="0"/>
        <w:pageBreakBefore w:val="0"/>
        <w:numPr>
          <w:ilvl w:val="0"/>
          <w:numId w:val="1"/>
        </w:numPr>
        <w:kinsoku/>
        <w:overflowPunct/>
        <w:topLinePunct w:val="0"/>
        <w:autoSpaceDE/>
        <w:autoSpaceDN/>
        <w:bidi w:val="0"/>
        <w:adjustRightInd/>
        <w:snapToGrid/>
        <w:spacing w:beforeAutospacing="0" w:afterAutospacing="0" w:line="240" w:lineRule="auto"/>
        <w:ind w:left="527" w:hanging="527" w:hangingChars="250"/>
        <w:textAlignment w:val="auto"/>
        <w:rPr>
          <w:rFonts w:hAnsi="宋体"/>
          <w:b/>
          <w:snapToGrid w:val="0"/>
          <w:color w:val="000000" w:themeColor="text1"/>
          <w:sz w:val="21"/>
          <w:szCs w:val="21"/>
          <w14:textFill>
            <w14:solidFill>
              <w14:schemeClr w14:val="tx1"/>
            </w14:solidFill>
          </w14:textFill>
        </w:rPr>
      </w:pPr>
      <w:r>
        <w:rPr>
          <w:rFonts w:hint="eastAsia" w:hAnsi="宋体"/>
          <w:b/>
          <w:snapToGrid w:val="0"/>
          <w:color w:val="000000" w:themeColor="text1"/>
          <w:sz w:val="21"/>
          <w:szCs w:val="21"/>
          <w14:textFill>
            <w14:solidFill>
              <w14:schemeClr w14:val="tx1"/>
            </w14:solidFill>
          </w14:textFill>
        </w:rPr>
        <w:t>报价要求：</w:t>
      </w:r>
    </w:p>
    <w:p>
      <w:pPr>
        <w:keepNext w:val="0"/>
        <w:keepLines w:val="0"/>
        <w:pageBreakBefore w:val="0"/>
        <w:kinsoku/>
        <w:overflowPunct/>
        <w:topLinePunct w:val="0"/>
        <w:autoSpaceDE/>
        <w:autoSpaceDN/>
        <w:bidi w:val="0"/>
        <w:adjustRightInd/>
        <w:snapToGrid/>
        <w:spacing w:beforeAutospacing="0" w:afterAutospacing="0" w:line="240" w:lineRule="auto"/>
        <w:ind w:firstLine="420" w:firstLineChars="200"/>
        <w:textAlignment w:val="auto"/>
        <w:rPr>
          <w:rFonts w:hAnsi="宋体"/>
          <w:snapToGrid w:val="0"/>
          <w:color w:val="000000" w:themeColor="text1"/>
          <w:sz w:val="21"/>
          <w:szCs w:val="21"/>
          <w14:textFill>
            <w14:solidFill>
              <w14:schemeClr w14:val="tx1"/>
            </w14:solidFill>
          </w14:textFill>
        </w:rPr>
      </w:pPr>
      <w:r>
        <w:rPr>
          <w:rFonts w:hint="eastAsia" w:hAnsi="宋体"/>
          <w:snapToGrid w:val="0"/>
          <w:color w:val="000000" w:themeColor="text1"/>
          <w:sz w:val="21"/>
          <w:szCs w:val="21"/>
          <w14:textFill>
            <w14:solidFill>
              <w14:schemeClr w14:val="tx1"/>
            </w14:solidFill>
          </w14:textFill>
        </w:rPr>
        <w:t>投标人按照《</w:t>
      </w:r>
      <w:r>
        <w:rPr>
          <w:rFonts w:hint="eastAsia" w:hAnsi="宋体"/>
          <w:snapToGrid w:val="0"/>
          <w:color w:val="000000" w:themeColor="text1"/>
          <w:sz w:val="21"/>
          <w:szCs w:val="21"/>
          <w:lang w:eastAsia="zh-CN"/>
          <w14:textFill>
            <w14:solidFill>
              <w14:schemeClr w14:val="tx1"/>
            </w14:solidFill>
          </w14:textFill>
        </w:rPr>
        <w:t>四川省公立医疗机构基本医疗服务价格</w:t>
      </w:r>
      <w:r>
        <w:rPr>
          <w:rFonts w:hint="eastAsia" w:hAnsi="宋体"/>
          <w:snapToGrid w:val="0"/>
          <w:color w:val="000000" w:themeColor="text1"/>
          <w:sz w:val="21"/>
          <w:szCs w:val="21"/>
          <w14:textFill>
            <w14:solidFill>
              <w14:schemeClr w14:val="tx1"/>
            </w14:solidFill>
          </w14:textFill>
        </w:rPr>
        <w:t>》（如该文件有更新，以新版为准），对本项目所有检验内容提供统一的投标折扣率。投标折扣率作为价格部分评分依据。</w:t>
      </w:r>
    </w:p>
    <w:p>
      <w:pPr>
        <w:spacing w:line="276" w:lineRule="auto"/>
        <w:rPr>
          <w:rFonts w:hAnsi="宋体"/>
          <w:b/>
          <w:bCs w:val="0"/>
          <w:snapToGrid w:val="0"/>
          <w:color w:val="000000" w:themeColor="text1"/>
          <w:sz w:val="21"/>
          <w:szCs w:val="21"/>
          <w14:textFill>
            <w14:solidFill>
              <w14:schemeClr w14:val="tx1"/>
            </w14:solidFill>
          </w14:textFill>
        </w:rPr>
      </w:pPr>
      <w:r>
        <w:rPr>
          <w:rFonts w:hint="eastAsia" w:hAnsi="宋体"/>
          <w:b/>
          <w:bCs w:val="0"/>
          <w:snapToGrid w:val="0"/>
          <w:color w:val="000000" w:themeColor="text1"/>
          <w:sz w:val="21"/>
          <w:szCs w:val="21"/>
          <w14:textFill>
            <w14:solidFill>
              <w14:schemeClr w14:val="tx1"/>
            </w14:solidFill>
          </w14:textFill>
        </w:rPr>
        <w:t>2.</w:t>
      </w:r>
      <w:r>
        <w:rPr>
          <w:rFonts w:hint="eastAsia" w:cs="宋体" w:hAnsiTheme="minorHAnsi"/>
          <w:b/>
          <w:bCs w:val="0"/>
          <w:color w:val="000000" w:themeColor="text1"/>
          <w:sz w:val="21"/>
          <w:szCs w:val="21"/>
          <w14:textFill>
            <w14:solidFill>
              <w14:schemeClr w14:val="tx1"/>
            </w14:solidFill>
          </w14:textFill>
        </w:rPr>
        <w:t>报价方式：投标折扣</w:t>
      </w:r>
      <w:r>
        <w:rPr>
          <w:rFonts w:hint="eastAsia" w:cs="宋体" w:hAnsiTheme="minorHAnsi"/>
          <w:b/>
          <w:bCs w:val="0"/>
          <w:color w:val="000000" w:themeColor="text1"/>
          <w:sz w:val="21"/>
          <w:szCs w:val="21"/>
          <w:lang w:val="en-US" w:eastAsia="zh-CN"/>
          <w14:textFill>
            <w14:solidFill>
              <w14:schemeClr w14:val="tx1"/>
            </w14:solidFill>
          </w14:textFill>
        </w:rPr>
        <w:t>率</w:t>
      </w:r>
      <w:r>
        <w:rPr>
          <w:rFonts w:hint="eastAsia" w:cs="宋体" w:hAnsiTheme="minorHAnsi"/>
          <w:b/>
          <w:bCs w:val="0"/>
          <w:color w:val="000000" w:themeColor="text1"/>
          <w:sz w:val="21"/>
          <w:szCs w:val="21"/>
          <w14:textFill>
            <w14:solidFill>
              <w14:schemeClr w14:val="tx1"/>
            </w14:solidFill>
          </w14:textFill>
        </w:rPr>
        <w:t>。</w:t>
      </w:r>
    </w:p>
    <w:p>
      <w:pPr>
        <w:spacing w:line="276" w:lineRule="auto"/>
        <w:rPr>
          <w:rFonts w:hAnsi="宋体"/>
          <w:snapToGrid w:val="0"/>
          <w:color w:val="000000" w:themeColor="text1"/>
          <w:sz w:val="21"/>
          <w:szCs w:val="21"/>
          <w14:textFill>
            <w14:solidFill>
              <w14:schemeClr w14:val="tx1"/>
            </w14:solidFill>
          </w14:textFill>
        </w:rPr>
      </w:pPr>
      <w:r>
        <w:rPr>
          <w:rFonts w:hint="eastAsia" w:hAnsi="宋体"/>
          <w:b/>
          <w:snapToGrid w:val="0"/>
          <w:color w:val="000000" w:themeColor="text1"/>
          <w:sz w:val="21"/>
          <w:szCs w:val="21"/>
          <w14:textFill>
            <w14:solidFill>
              <w14:schemeClr w14:val="tx1"/>
            </w14:solidFill>
          </w14:textFill>
        </w:rPr>
        <w:t>3.服务</w:t>
      </w:r>
      <w:r>
        <w:rPr>
          <w:rFonts w:hint="eastAsia" w:hAnsi="宋体"/>
          <w:b/>
          <w:snapToGrid w:val="0"/>
          <w:color w:val="000000" w:themeColor="text1"/>
          <w:sz w:val="21"/>
          <w:szCs w:val="21"/>
          <w:lang w:val="en-US" w:eastAsia="zh-CN"/>
          <w14:textFill>
            <w14:solidFill>
              <w14:schemeClr w14:val="tx1"/>
            </w14:solidFill>
          </w14:textFill>
        </w:rPr>
        <w:t>期限</w:t>
      </w:r>
      <w:r>
        <w:rPr>
          <w:rFonts w:hint="eastAsia" w:hAnsi="宋体"/>
          <w:b/>
          <w:snapToGrid w:val="0"/>
          <w:color w:val="000000" w:themeColor="text1"/>
          <w:sz w:val="21"/>
          <w:szCs w:val="21"/>
          <w14:textFill>
            <w14:solidFill>
              <w14:schemeClr w14:val="tx1"/>
            </w14:solidFill>
          </w14:textFill>
        </w:rPr>
        <w:t>：签订合同之日起</w:t>
      </w:r>
      <w:r>
        <w:rPr>
          <w:rFonts w:hint="eastAsia" w:hAnsi="宋体"/>
          <w:b/>
          <w:snapToGrid w:val="0"/>
          <w:color w:val="000000" w:themeColor="text1"/>
          <w:sz w:val="21"/>
          <w:szCs w:val="21"/>
          <w:u w:val="single"/>
          <w:lang w:val="en-US" w:eastAsia="zh-CN"/>
          <w14:textFill>
            <w14:solidFill>
              <w14:schemeClr w14:val="tx1"/>
            </w14:solidFill>
          </w14:textFill>
        </w:rPr>
        <w:t xml:space="preserve">     </w:t>
      </w:r>
      <w:r>
        <w:rPr>
          <w:rFonts w:hint="eastAsia" w:hAnsi="宋体"/>
          <w:snapToGrid w:val="0"/>
          <w:color w:val="000000" w:themeColor="text1"/>
          <w:sz w:val="21"/>
          <w:szCs w:val="21"/>
          <w14:textFill>
            <w14:solidFill>
              <w14:schemeClr w14:val="tx1"/>
            </w14:solidFill>
          </w14:textFill>
        </w:rPr>
        <w:t>年。</w:t>
      </w:r>
    </w:p>
    <w:p>
      <w:pPr>
        <w:spacing w:line="276" w:lineRule="auto"/>
        <w:ind w:left="420" w:hanging="422" w:hangingChars="200"/>
        <w:rPr>
          <w:rFonts w:hAnsi="宋体"/>
          <w:snapToGrid w:val="0"/>
          <w:color w:val="000000" w:themeColor="text1"/>
          <w:sz w:val="21"/>
          <w:szCs w:val="21"/>
          <w:highlight w:val="none"/>
          <w14:textFill>
            <w14:solidFill>
              <w14:schemeClr w14:val="tx1"/>
            </w14:solidFill>
          </w14:textFill>
        </w:rPr>
      </w:pPr>
      <w:r>
        <w:rPr>
          <w:rFonts w:hint="eastAsia" w:hAnsi="宋体"/>
          <w:b/>
          <w:bCs w:val="0"/>
          <w:snapToGrid w:val="0"/>
          <w:color w:val="000000" w:themeColor="text1"/>
          <w:sz w:val="21"/>
          <w:szCs w:val="21"/>
          <w14:textFill>
            <w14:solidFill>
              <w14:schemeClr w14:val="tx1"/>
            </w14:solidFill>
          </w14:textFill>
        </w:rPr>
        <w:t>4.预算：</w:t>
      </w:r>
      <w:r>
        <w:rPr>
          <w:rFonts w:hint="eastAsia" w:hAnsi="宋体"/>
          <w:bCs/>
          <w:snapToGrid w:val="0"/>
          <w:color w:val="000000" w:themeColor="text1"/>
          <w:sz w:val="21"/>
          <w:szCs w:val="21"/>
          <w14:textFill>
            <w14:solidFill>
              <w14:schemeClr w14:val="tx1"/>
            </w14:solidFill>
          </w14:textFill>
        </w:rPr>
        <w:t>人民币￥</w:t>
      </w:r>
      <w:r>
        <w:rPr>
          <w:rFonts w:hint="eastAsia" w:hAnsi="宋体"/>
          <w:bCs/>
          <w:snapToGrid w:val="0"/>
          <w:color w:val="000000" w:themeColor="text1"/>
          <w:sz w:val="21"/>
          <w:szCs w:val="21"/>
          <w:u w:val="single"/>
          <w:lang w:val="en-US" w:eastAsia="zh-CN"/>
          <w14:textFill>
            <w14:solidFill>
              <w14:schemeClr w14:val="tx1"/>
            </w14:solidFill>
          </w14:textFill>
        </w:rPr>
        <w:t xml:space="preserve">       </w:t>
      </w:r>
      <w:r>
        <w:rPr>
          <w:rFonts w:hint="eastAsia" w:hAnsi="宋体"/>
          <w:bCs/>
          <w:snapToGrid w:val="0"/>
          <w:color w:val="000000" w:themeColor="text1"/>
          <w:sz w:val="21"/>
          <w:szCs w:val="21"/>
          <w:highlight w:val="none"/>
          <w14:textFill>
            <w14:solidFill>
              <w14:schemeClr w14:val="tx1"/>
            </w14:solidFill>
          </w14:textFill>
        </w:rPr>
        <w:t>万元，以实际检测量按投标单价报价进行结算。</w:t>
      </w:r>
    </w:p>
    <w:p>
      <w:pPr>
        <w:spacing w:line="276" w:lineRule="auto"/>
        <w:rPr>
          <w:rFonts w:hAnsi="宋体"/>
          <w:b/>
          <w:bCs/>
          <w:snapToGrid w:val="0"/>
          <w:color w:val="000000" w:themeColor="text1"/>
          <w:sz w:val="21"/>
          <w:szCs w:val="21"/>
          <w:highlight w:val="none"/>
          <w14:textFill>
            <w14:solidFill>
              <w14:schemeClr w14:val="tx1"/>
            </w14:solidFill>
          </w14:textFill>
        </w:rPr>
      </w:pPr>
      <w:r>
        <w:rPr>
          <w:rFonts w:hAnsi="宋体"/>
          <w:b/>
          <w:bCs/>
          <w:snapToGrid w:val="0"/>
          <w:color w:val="000000" w:themeColor="text1"/>
          <w:sz w:val="21"/>
          <w:szCs w:val="21"/>
          <w:highlight w:val="none"/>
          <w14:textFill>
            <w14:solidFill>
              <w14:schemeClr w14:val="tx1"/>
            </w14:solidFill>
          </w14:textFill>
        </w:rPr>
        <w:t>5</w:t>
      </w:r>
      <w:r>
        <w:rPr>
          <w:rFonts w:hint="eastAsia" w:hAnsi="宋体"/>
          <w:b/>
          <w:bCs/>
          <w:snapToGrid w:val="0"/>
          <w:color w:val="000000" w:themeColor="text1"/>
          <w:sz w:val="21"/>
          <w:szCs w:val="21"/>
          <w:highlight w:val="none"/>
          <w14:textFill>
            <w14:solidFill>
              <w14:schemeClr w14:val="tx1"/>
            </w14:solidFill>
          </w14:textFill>
        </w:rPr>
        <w:t>.服务地点：</w:t>
      </w:r>
      <w:r>
        <w:rPr>
          <w:rFonts w:hint="eastAsia" w:hAnsi="宋体"/>
          <w:snapToGrid w:val="0"/>
          <w:color w:val="000000" w:themeColor="text1"/>
          <w:sz w:val="21"/>
          <w:szCs w:val="21"/>
          <w:highlight w:val="none"/>
          <w14:textFill>
            <w14:solidFill>
              <w14:schemeClr w14:val="tx1"/>
            </w14:solidFill>
          </w14:textFill>
        </w:rPr>
        <w:t>采购人指定的地点。</w:t>
      </w:r>
    </w:p>
    <w:p>
      <w:pPr>
        <w:spacing w:line="276" w:lineRule="auto"/>
        <w:rPr>
          <w:rFonts w:cs="宋体" w:hAnsiTheme="minorHAnsi"/>
          <w:b/>
          <w:color w:val="000000" w:themeColor="text1"/>
          <w:sz w:val="21"/>
          <w:szCs w:val="21"/>
          <w:highlight w:val="none"/>
          <w14:textFill>
            <w14:solidFill>
              <w14:schemeClr w14:val="tx1"/>
            </w14:solidFill>
          </w14:textFill>
        </w:rPr>
      </w:pPr>
      <w:r>
        <w:rPr>
          <w:rFonts w:cs="宋体" w:hAnsiTheme="minorHAnsi"/>
          <w:b/>
          <w:color w:val="000000" w:themeColor="text1"/>
          <w:sz w:val="21"/>
          <w:szCs w:val="21"/>
          <w:highlight w:val="none"/>
          <w14:textFill>
            <w14:solidFill>
              <w14:schemeClr w14:val="tx1"/>
            </w14:solidFill>
          </w14:textFill>
        </w:rPr>
        <w:t>6.</w:t>
      </w:r>
      <w:r>
        <w:rPr>
          <w:rFonts w:hint="eastAsia" w:cs="宋体" w:hAnsiTheme="minorHAnsi"/>
          <w:b/>
          <w:color w:val="000000" w:themeColor="text1"/>
          <w:sz w:val="21"/>
          <w:szCs w:val="21"/>
          <w:highlight w:val="none"/>
          <w14:textFill>
            <w14:solidFill>
              <w14:schemeClr w14:val="tx1"/>
            </w14:solidFill>
          </w14:textFill>
        </w:rPr>
        <w:t>付款和结算方式：</w:t>
      </w:r>
    </w:p>
    <w:p>
      <w:pPr>
        <w:spacing w:line="276" w:lineRule="auto"/>
        <w:ind w:firstLine="284"/>
        <w:rPr>
          <w:rFonts w:hAnsi="宋体"/>
          <w:snapToGrid w:val="0"/>
          <w:color w:val="000000" w:themeColor="text1"/>
          <w:sz w:val="21"/>
          <w:szCs w:val="21"/>
          <w:highlight w:val="none"/>
          <w14:textFill>
            <w14:solidFill>
              <w14:schemeClr w14:val="tx1"/>
            </w14:solidFill>
          </w14:textFill>
        </w:rPr>
      </w:pPr>
      <w:r>
        <w:rPr>
          <w:rFonts w:hAnsi="宋体"/>
          <w:snapToGrid w:val="0"/>
          <w:color w:val="000000" w:themeColor="text1"/>
          <w:sz w:val="21"/>
          <w:szCs w:val="21"/>
          <w:highlight w:val="none"/>
          <w14:textFill>
            <w14:solidFill>
              <w14:schemeClr w14:val="tx1"/>
            </w14:solidFill>
          </w14:textFill>
        </w:rPr>
        <w:t xml:space="preserve">6.1 </w:t>
      </w:r>
      <w:r>
        <w:rPr>
          <w:rFonts w:hint="eastAsia" w:hAnsi="宋体"/>
          <w:snapToGrid w:val="0"/>
          <w:color w:val="000000" w:themeColor="text1"/>
          <w:sz w:val="21"/>
          <w:szCs w:val="21"/>
          <w:highlight w:val="none"/>
          <w14:textFill>
            <w14:solidFill>
              <w14:schemeClr w14:val="tx1"/>
            </w14:solidFill>
          </w14:textFill>
        </w:rPr>
        <w:t>按月结算，本月结算上月服务金额。</w:t>
      </w:r>
    </w:p>
    <w:p>
      <w:pPr>
        <w:spacing w:line="276" w:lineRule="auto"/>
        <w:ind w:firstLine="284"/>
        <w:rPr>
          <w:rFonts w:hint="eastAsia" w:hAnsi="宋体"/>
          <w:snapToGrid w:val="0"/>
          <w:color w:val="000000" w:themeColor="text1"/>
          <w:sz w:val="21"/>
          <w:szCs w:val="21"/>
          <w:highlight w:val="none"/>
          <w14:textFill>
            <w14:solidFill>
              <w14:schemeClr w14:val="tx1"/>
            </w14:solidFill>
          </w14:textFill>
        </w:rPr>
      </w:pPr>
      <w:r>
        <w:rPr>
          <w:rFonts w:hAnsi="宋体"/>
          <w:snapToGrid w:val="0"/>
          <w:color w:val="000000" w:themeColor="text1"/>
          <w:sz w:val="21"/>
          <w:szCs w:val="21"/>
          <w:highlight w:val="none"/>
          <w14:textFill>
            <w14:solidFill>
              <w14:schemeClr w14:val="tx1"/>
            </w14:solidFill>
          </w14:textFill>
        </w:rPr>
        <w:t xml:space="preserve">6.2 </w:t>
      </w:r>
      <w:r>
        <w:rPr>
          <w:rFonts w:hint="eastAsia" w:hAnsi="宋体"/>
          <w:snapToGrid w:val="0"/>
          <w:color w:val="000000" w:themeColor="text1"/>
          <w:sz w:val="21"/>
          <w:szCs w:val="21"/>
          <w:highlight w:val="none"/>
          <w14:textFill>
            <w14:solidFill>
              <w14:schemeClr w14:val="tx1"/>
            </w14:solidFill>
          </w14:textFill>
        </w:rPr>
        <w:t>项目中标结算价</w:t>
      </w:r>
      <w:r>
        <w:rPr>
          <w:rFonts w:hAnsi="宋体"/>
          <w:snapToGrid w:val="0"/>
          <w:color w:val="000000" w:themeColor="text1"/>
          <w:sz w:val="21"/>
          <w:szCs w:val="21"/>
          <w:highlight w:val="none"/>
          <w14:textFill>
            <w14:solidFill>
              <w14:schemeClr w14:val="tx1"/>
            </w14:solidFill>
          </w14:textFill>
        </w:rPr>
        <w:t>=</w:t>
      </w:r>
      <w:r>
        <w:rPr>
          <w:rFonts w:hint="eastAsia" w:hAnsi="宋体"/>
          <w:snapToGrid w:val="0"/>
          <w:color w:val="000000" w:themeColor="text1"/>
          <w:sz w:val="21"/>
          <w:szCs w:val="21"/>
          <w:highlight w:val="none"/>
          <w14:textFill>
            <w14:solidFill>
              <w14:schemeClr w14:val="tx1"/>
            </w14:solidFill>
          </w14:textFill>
        </w:rPr>
        <w:t>项目收费标准×对应中标折扣。</w:t>
      </w:r>
    </w:p>
    <w:p>
      <w:pPr>
        <w:spacing w:line="276" w:lineRule="auto"/>
        <w:ind w:firstLine="284"/>
        <w:rPr>
          <w:rFonts w:hAnsi="宋体"/>
          <w:snapToGrid w:val="0"/>
          <w:color w:val="000000" w:themeColor="text1"/>
          <w:sz w:val="21"/>
          <w:szCs w:val="21"/>
          <w14:textFill>
            <w14:solidFill>
              <w14:schemeClr w14:val="tx1"/>
            </w14:solidFill>
          </w14:textFill>
        </w:rPr>
      </w:pPr>
      <w:r>
        <w:rPr>
          <w:rFonts w:hAnsi="宋体"/>
          <w:snapToGrid w:val="0"/>
          <w:color w:val="000000" w:themeColor="text1"/>
          <w:sz w:val="21"/>
          <w:szCs w:val="21"/>
          <w14:textFill>
            <w14:solidFill>
              <w14:schemeClr w14:val="tx1"/>
            </w14:solidFill>
          </w14:textFill>
        </w:rPr>
        <w:t xml:space="preserve">6.3 </w:t>
      </w:r>
      <w:r>
        <w:rPr>
          <w:rFonts w:hint="eastAsia" w:hAnsi="宋体"/>
          <w:snapToGrid w:val="0"/>
          <w:color w:val="000000" w:themeColor="text1"/>
          <w:sz w:val="21"/>
          <w:szCs w:val="21"/>
          <w14:textFill>
            <w14:solidFill>
              <w14:schemeClr w14:val="tx1"/>
            </w14:solidFill>
          </w14:textFill>
        </w:rPr>
        <w:t>每月的结算金额</w:t>
      </w:r>
      <w:r>
        <w:rPr>
          <w:rFonts w:hAnsi="宋体"/>
          <w:snapToGrid w:val="0"/>
          <w:color w:val="000000" w:themeColor="text1"/>
          <w:sz w:val="21"/>
          <w:szCs w:val="21"/>
          <w14:textFill>
            <w14:solidFill>
              <w14:schemeClr w14:val="tx1"/>
            </w14:solidFill>
          </w14:textFill>
        </w:rPr>
        <w:t>=</w:t>
      </w:r>
      <w:r>
        <w:rPr>
          <w:rFonts w:hint="eastAsia" w:hAnsi="宋体"/>
          <w:snapToGrid w:val="0"/>
          <w:color w:val="000000" w:themeColor="text1"/>
          <w:sz w:val="21"/>
          <w:szCs w:val="21"/>
          <w14:textFill>
            <w14:solidFill>
              <w14:schemeClr w14:val="tx1"/>
            </w14:solidFill>
          </w14:textFill>
        </w:rPr>
        <w:t>Σ（采购服务数量×对应项目的中标结算价）</w:t>
      </w:r>
      <w:r>
        <w:rPr>
          <w:rFonts w:hAnsi="宋体"/>
          <w:snapToGrid w:val="0"/>
          <w:color w:val="000000" w:themeColor="text1"/>
          <w:sz w:val="21"/>
          <w:szCs w:val="21"/>
          <w14:textFill>
            <w14:solidFill>
              <w14:schemeClr w14:val="tx1"/>
            </w14:solidFill>
          </w14:textFill>
        </w:rPr>
        <w:t>,</w:t>
      </w:r>
      <w:r>
        <w:rPr>
          <w:rFonts w:hint="eastAsia" w:hAnsi="宋体"/>
          <w:snapToGrid w:val="0"/>
          <w:color w:val="000000" w:themeColor="text1"/>
          <w:sz w:val="21"/>
          <w:szCs w:val="21"/>
          <w14:textFill>
            <w14:solidFill>
              <w14:schemeClr w14:val="tx1"/>
            </w14:solidFill>
          </w14:textFill>
        </w:rPr>
        <w:t>中标人于每月</w:t>
      </w:r>
      <w:r>
        <w:rPr>
          <w:rFonts w:hint="eastAsia" w:hAnsi="宋体"/>
          <w:snapToGrid w:val="0"/>
          <w:color w:val="000000" w:themeColor="text1"/>
          <w:sz w:val="21"/>
          <w:szCs w:val="21"/>
          <w:lang w:val="en-US" w:eastAsia="zh-CN"/>
          <w14:textFill>
            <w14:solidFill>
              <w14:schemeClr w14:val="tx1"/>
            </w14:solidFill>
          </w14:textFill>
        </w:rPr>
        <w:t>10</w:t>
      </w:r>
      <w:r>
        <w:rPr>
          <w:rFonts w:hAnsi="宋体"/>
          <w:snapToGrid w:val="0"/>
          <w:color w:val="000000" w:themeColor="text1"/>
          <w:sz w:val="21"/>
          <w:szCs w:val="21"/>
          <w14:textFill>
            <w14:solidFill>
              <w14:schemeClr w14:val="tx1"/>
            </w14:solidFill>
          </w14:textFill>
        </w:rPr>
        <w:t xml:space="preserve"> </w:t>
      </w:r>
      <w:r>
        <w:rPr>
          <w:rFonts w:hint="eastAsia" w:hAnsi="宋体"/>
          <w:snapToGrid w:val="0"/>
          <w:color w:val="000000" w:themeColor="text1"/>
          <w:sz w:val="21"/>
          <w:szCs w:val="21"/>
          <w14:textFill>
            <w14:solidFill>
              <w14:schemeClr w14:val="tx1"/>
            </w14:solidFill>
          </w14:textFill>
        </w:rPr>
        <w:t>日前提供上月检验送检数量结算明细清单给采购人</w:t>
      </w:r>
      <w:r>
        <w:rPr>
          <w:rFonts w:hAnsi="宋体"/>
          <w:snapToGrid w:val="0"/>
          <w:color w:val="000000" w:themeColor="text1"/>
          <w:sz w:val="21"/>
          <w:szCs w:val="21"/>
          <w14:textFill>
            <w14:solidFill>
              <w14:schemeClr w14:val="tx1"/>
            </w14:solidFill>
          </w14:textFill>
        </w:rPr>
        <w:t xml:space="preserve">, </w:t>
      </w:r>
      <w:r>
        <w:rPr>
          <w:rFonts w:hint="eastAsia" w:hAnsi="宋体"/>
          <w:snapToGrid w:val="0"/>
          <w:color w:val="000000" w:themeColor="text1"/>
          <w:sz w:val="21"/>
          <w:szCs w:val="21"/>
          <w:lang w:eastAsia="zh-CN"/>
          <w14:textFill>
            <w14:solidFill>
              <w14:schemeClr w14:val="tx1"/>
            </w14:solidFill>
          </w14:textFill>
        </w:rPr>
        <w:t>采购人</w:t>
      </w:r>
      <w:r>
        <w:rPr>
          <w:rFonts w:hint="eastAsia" w:hAnsi="宋体"/>
          <w:snapToGrid w:val="0"/>
          <w:color w:val="000000" w:themeColor="text1"/>
          <w:sz w:val="21"/>
          <w:szCs w:val="21"/>
          <w14:textFill>
            <w14:solidFill>
              <w14:schemeClr w14:val="tx1"/>
            </w14:solidFill>
          </w14:textFill>
        </w:rPr>
        <w:t>需在每月20日前对结算明细清单进行确认，审核无误后通知中标人开具发票，采购人收到发票后</w:t>
      </w:r>
      <w:r>
        <w:rPr>
          <w:rFonts w:hAnsi="宋体"/>
          <w:snapToGrid w:val="0"/>
          <w:color w:val="000000" w:themeColor="text1"/>
          <w:sz w:val="21"/>
          <w:szCs w:val="21"/>
          <w14:textFill>
            <w14:solidFill>
              <w14:schemeClr w14:val="tx1"/>
            </w14:solidFill>
          </w14:textFill>
        </w:rPr>
        <w:t>1</w:t>
      </w:r>
      <w:r>
        <w:rPr>
          <w:rFonts w:hint="eastAsia" w:hAnsi="宋体"/>
          <w:snapToGrid w:val="0"/>
          <w:color w:val="000000" w:themeColor="text1"/>
          <w:sz w:val="21"/>
          <w:szCs w:val="21"/>
          <w:lang w:val="en-US" w:eastAsia="zh-CN"/>
          <w14:textFill>
            <w14:solidFill>
              <w14:schemeClr w14:val="tx1"/>
            </w14:solidFill>
          </w14:textFill>
        </w:rPr>
        <w:t>0</w:t>
      </w:r>
      <w:r>
        <w:rPr>
          <w:rFonts w:hint="eastAsia" w:hAnsi="宋体"/>
          <w:snapToGrid w:val="0"/>
          <w:color w:val="000000" w:themeColor="text1"/>
          <w:sz w:val="21"/>
          <w:szCs w:val="21"/>
          <w14:textFill>
            <w14:solidFill>
              <w14:schemeClr w14:val="tx1"/>
            </w14:solidFill>
          </w14:textFill>
        </w:rPr>
        <w:t>个工作日内转账支付服务费用。</w:t>
      </w:r>
    </w:p>
    <w:p>
      <w:pPr>
        <w:spacing w:line="276" w:lineRule="auto"/>
        <w:ind w:firstLine="284"/>
        <w:rPr>
          <w:rFonts w:hint="eastAsia" w:cs="宋体" w:hAnsiTheme="minorHAnsi"/>
          <w:color w:val="000000" w:themeColor="text1"/>
          <w:sz w:val="21"/>
          <w:szCs w:val="21"/>
          <w:lang w:eastAsia="zh-CN"/>
          <w14:textFill>
            <w14:solidFill>
              <w14:schemeClr w14:val="tx1"/>
            </w14:solidFill>
          </w14:textFill>
        </w:rPr>
      </w:pPr>
      <w:r>
        <w:rPr>
          <w:rFonts w:hAnsi="宋体"/>
          <w:snapToGrid w:val="0"/>
          <w:color w:val="000000" w:themeColor="text1"/>
          <w:sz w:val="21"/>
          <w:szCs w:val="21"/>
          <w14:textFill>
            <w14:solidFill>
              <w14:schemeClr w14:val="tx1"/>
            </w14:solidFill>
          </w14:textFill>
        </w:rPr>
        <w:t xml:space="preserve">6.4 </w:t>
      </w:r>
      <w:r>
        <w:rPr>
          <w:rFonts w:hint="eastAsia" w:cs="宋体" w:hAnsiTheme="minorHAnsi"/>
          <w:color w:val="000000" w:themeColor="text1"/>
          <w:sz w:val="21"/>
          <w:szCs w:val="21"/>
          <w:lang w:val="en-US" w:eastAsia="zh-CN"/>
          <w14:textFill>
            <w14:solidFill>
              <w14:schemeClr w14:val="tx1"/>
            </w14:solidFill>
          </w14:textFill>
        </w:rPr>
        <w:t>中标人</w:t>
      </w:r>
      <w:r>
        <w:rPr>
          <w:rFonts w:hint="eastAsia" w:cs="宋体" w:hAnsiTheme="minorHAnsi"/>
          <w:color w:val="000000" w:themeColor="text1"/>
          <w:sz w:val="21"/>
          <w:szCs w:val="21"/>
          <w14:textFill>
            <w14:solidFill>
              <w14:schemeClr w14:val="tx1"/>
            </w14:solidFill>
          </w14:textFill>
        </w:rPr>
        <w:t>每月10日前凭上月</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送检的检验数目按照《</w:t>
      </w:r>
      <w:r>
        <w:rPr>
          <w:rFonts w:hint="eastAsia" w:cs="宋体" w:hAnsiTheme="minorHAnsi"/>
          <w:color w:val="000000" w:themeColor="text1"/>
          <w:sz w:val="21"/>
          <w:szCs w:val="21"/>
          <w:lang w:eastAsia="zh-CN"/>
          <w14:textFill>
            <w14:solidFill>
              <w14:schemeClr w14:val="tx1"/>
            </w14:solidFill>
          </w14:textFill>
        </w:rPr>
        <w:t>四川省公立医疗机构基本医疗服务价格</w:t>
      </w:r>
      <w:r>
        <w:rPr>
          <w:rFonts w:hint="eastAsia" w:cs="宋体" w:hAnsiTheme="minorHAnsi"/>
          <w:color w:val="000000" w:themeColor="text1"/>
          <w:sz w:val="21"/>
          <w:szCs w:val="21"/>
          <w14:textFill>
            <w14:solidFill>
              <w14:schemeClr w14:val="tx1"/>
            </w14:solidFill>
          </w14:textFill>
        </w:rPr>
        <w:t>》以及</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相关收费规定中确定的收费标准统计总额，根据双方达成的分配比例开具相应的对账单，</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对对账单进行确认，</w:t>
      </w:r>
      <w:r>
        <w:rPr>
          <w:rFonts w:hint="eastAsia" w:cs="宋体" w:hAnsiTheme="minorHAnsi"/>
          <w:color w:val="000000" w:themeColor="text1"/>
          <w:sz w:val="21"/>
          <w:szCs w:val="21"/>
          <w:lang w:val="en-US" w:eastAsia="zh-CN"/>
          <w14:textFill>
            <w14:solidFill>
              <w14:schemeClr w14:val="tx1"/>
            </w14:solidFill>
          </w14:textFill>
        </w:rPr>
        <w:t>中标人</w:t>
      </w:r>
      <w:r>
        <w:rPr>
          <w:rFonts w:hint="eastAsia" w:cs="宋体" w:hAnsiTheme="minorHAnsi"/>
          <w:color w:val="000000" w:themeColor="text1"/>
          <w:sz w:val="21"/>
          <w:szCs w:val="21"/>
          <w14:textFill>
            <w14:solidFill>
              <w14:schemeClr w14:val="tx1"/>
            </w14:solidFill>
          </w14:textFill>
        </w:rPr>
        <w:t>根据双方确认后的对账单金额开具结算发票。若</w:t>
      </w:r>
      <w:r>
        <w:rPr>
          <w:rFonts w:hint="eastAsia" w:cs="宋体" w:hAnsiTheme="minorHAnsi"/>
          <w:color w:val="000000" w:themeColor="text1"/>
          <w:sz w:val="21"/>
          <w:szCs w:val="21"/>
          <w:lang w:val="en-US" w:eastAsia="zh-CN"/>
          <w14:textFill>
            <w14:solidFill>
              <w14:schemeClr w14:val="tx1"/>
            </w14:solidFill>
          </w14:textFill>
        </w:rPr>
        <w:t>任何一方</w:t>
      </w:r>
      <w:r>
        <w:rPr>
          <w:rFonts w:hint="eastAsia" w:cs="宋体" w:hAnsiTheme="minorHAnsi"/>
          <w:color w:val="000000" w:themeColor="text1"/>
          <w:sz w:val="21"/>
          <w:szCs w:val="21"/>
          <w14:textFill>
            <w14:solidFill>
              <w14:schemeClr w14:val="tx1"/>
            </w14:solidFill>
          </w14:textFill>
        </w:rPr>
        <w:t>在发票开具的叁个月内，对对账单中的项目、价格存在异议，均可提出，经双方确认通过后，根据“多退少补”的原则进行再结算</w:t>
      </w:r>
      <w:r>
        <w:rPr>
          <w:rFonts w:hint="eastAsia" w:cs="宋体" w:hAnsiTheme="minorHAnsi"/>
          <w:color w:val="000000" w:themeColor="text1"/>
          <w:sz w:val="21"/>
          <w:szCs w:val="21"/>
          <w:lang w:eastAsia="zh-CN"/>
          <w14:textFill>
            <w14:solidFill>
              <w14:schemeClr w14:val="tx1"/>
            </w14:solidFill>
          </w14:textFill>
        </w:rPr>
        <w:t>。</w:t>
      </w:r>
    </w:p>
    <w:p>
      <w:pPr>
        <w:pStyle w:val="2"/>
        <w:pageBreakBefore w:val="0"/>
        <w:kinsoku/>
        <w:wordWrap/>
        <w:overflowPunct/>
        <w:topLinePunct w:val="0"/>
        <w:autoSpaceDE/>
        <w:autoSpaceDN/>
        <w:bidi w:val="0"/>
        <w:adjustRightInd/>
        <w:snapToGrid/>
        <w:spacing w:before="0" w:beforeAutospacing="0" w:after="0" w:afterAutospacing="0" w:line="240" w:lineRule="auto"/>
        <w:ind w:left="0" w:firstLine="230" w:firstLineChars="100"/>
        <w:textAlignment w:val="auto"/>
        <w:rPr>
          <w:rFonts w:hint="default"/>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6.5项目结算级别以实际发生为准。</w:t>
      </w:r>
    </w:p>
    <w:p>
      <w:pPr>
        <w:pStyle w:val="3"/>
        <w:pageBreakBefore w:val="0"/>
        <w:widowControl w:val="0"/>
        <w:kinsoku/>
        <w:wordWrap/>
        <w:overflowPunct/>
        <w:topLinePunct w:val="0"/>
        <w:autoSpaceDE/>
        <w:autoSpaceDN/>
        <w:bidi w:val="0"/>
        <w:adjustRightInd/>
        <w:snapToGrid/>
        <w:spacing w:before="0" w:beforeAutospacing="0" w:after="0" w:afterAutospacing="0" w:line="240" w:lineRule="auto"/>
        <w:ind w:left="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要求</w:t>
      </w:r>
    </w:p>
    <w:p>
      <w:pPr>
        <w:pStyle w:val="4"/>
        <w:pageBreakBefore w:val="0"/>
        <w:widowControl w:val="0"/>
        <w:kinsoku/>
        <w:wordWrap/>
        <w:overflowPunct/>
        <w:topLinePunct w:val="0"/>
        <w:autoSpaceDE/>
        <w:autoSpaceDN/>
        <w:bidi w:val="0"/>
        <w:adjustRightInd/>
        <w:snapToGrid/>
        <w:spacing w:before="0" w:beforeAutospacing="0" w:after="0" w:afterAutospacing="0" w:line="240" w:lineRule="auto"/>
        <w:ind w:left="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）总体要求</w:t>
      </w:r>
    </w:p>
    <w:p>
      <w:pPr>
        <w:pStyle w:val="13"/>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0" w:firstLineChars="0"/>
        <w:textAlignment w:val="auto"/>
        <w:rPr>
          <w:rFonts w:hAnsi="宋体" w:cs="宋体"/>
          <w:color w:val="000000" w:themeColor="text1"/>
          <w:sz w:val="21"/>
          <w:szCs w:val="21"/>
          <w14:textFill>
            <w14:solidFill>
              <w14:schemeClr w14:val="tx1"/>
            </w14:solidFill>
          </w14:textFill>
        </w:rPr>
      </w:pPr>
      <w:r>
        <w:rPr>
          <w:rFonts w:hint="eastAsia" w:cs="宋体" w:hAnsiTheme="minorHAnsi"/>
          <w:color w:val="000000" w:themeColor="text1"/>
          <w:sz w:val="21"/>
          <w:szCs w:val="21"/>
          <w:highlight w:val="none"/>
          <w14:textFill>
            <w14:solidFill>
              <w14:schemeClr w14:val="tx1"/>
            </w14:solidFill>
          </w14:textFill>
        </w:rPr>
        <w:t>投标人所开展项目须充分满足采购人委托外送需求。</w:t>
      </w:r>
    </w:p>
    <w:p>
      <w:pPr>
        <w:numPr>
          <w:ilvl w:val="0"/>
          <w:numId w:val="2"/>
        </w:numPr>
        <w:autoSpaceDE/>
        <w:autoSpaceDN/>
        <w:adjustRightInd/>
        <w:spacing w:line="276"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投标人实验室符合国家卫</w:t>
      </w:r>
      <w:r>
        <w:rPr>
          <w:rFonts w:hint="eastAsia" w:hAnsi="宋体" w:cs="宋体"/>
          <w:color w:val="000000" w:themeColor="text1"/>
          <w:sz w:val="21"/>
          <w:szCs w:val="21"/>
          <w:lang w:val="en-US" w:eastAsia="zh-CN"/>
          <w14:textFill>
            <w14:solidFill>
              <w14:schemeClr w14:val="tx1"/>
            </w14:solidFill>
          </w14:textFill>
        </w:rPr>
        <w:t>健</w:t>
      </w:r>
      <w:r>
        <w:rPr>
          <w:rFonts w:hint="eastAsia" w:hAnsi="宋体" w:cs="宋体"/>
          <w:color w:val="000000" w:themeColor="text1"/>
          <w:sz w:val="21"/>
          <w:szCs w:val="21"/>
          <w14:textFill>
            <w14:solidFill>
              <w14:schemeClr w14:val="tx1"/>
            </w14:solidFill>
          </w14:textFill>
        </w:rPr>
        <w:t>委《医疗机构临床实验室管理办法》等法律法规要求</w:t>
      </w:r>
      <w:r>
        <w:rPr>
          <w:rFonts w:hint="eastAsia" w:hAnsi="宋体" w:cs="宋体"/>
          <w:color w:val="000000" w:themeColor="text1"/>
          <w:sz w:val="21"/>
          <w:szCs w:val="21"/>
          <w:lang w:eastAsia="zh-CN"/>
          <w14:textFill>
            <w14:solidFill>
              <w14:schemeClr w14:val="tx1"/>
            </w14:solidFill>
          </w14:textFill>
        </w:rPr>
        <w:t>。</w:t>
      </w:r>
    </w:p>
    <w:p>
      <w:pPr>
        <w:numPr>
          <w:ilvl w:val="0"/>
          <w:numId w:val="2"/>
        </w:numPr>
        <w:autoSpaceDE/>
        <w:autoSpaceDN/>
        <w:adjustRightInd/>
        <w:spacing w:line="276"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投标人保证按国家检</w:t>
      </w:r>
      <w:r>
        <w:rPr>
          <w:rFonts w:hint="eastAsia" w:hAnsi="宋体" w:cs="宋体"/>
          <w:color w:val="000000" w:themeColor="text1"/>
          <w:sz w:val="21"/>
          <w:szCs w:val="21"/>
          <w:lang w:val="en-US" w:eastAsia="zh-CN"/>
          <w14:textFill>
            <w14:solidFill>
              <w14:schemeClr w14:val="tx1"/>
            </w14:solidFill>
          </w14:textFill>
        </w:rPr>
        <w:t>验</w:t>
      </w:r>
      <w:r>
        <w:rPr>
          <w:rFonts w:hint="eastAsia" w:hAnsi="宋体" w:cs="宋体"/>
          <w:color w:val="000000" w:themeColor="text1"/>
          <w:sz w:val="21"/>
          <w:szCs w:val="21"/>
          <w14:textFill>
            <w14:solidFill>
              <w14:schemeClr w14:val="tx1"/>
            </w14:solidFill>
          </w14:textFill>
        </w:rPr>
        <w:t>规范进行操作，</w:t>
      </w:r>
      <w:r>
        <w:rPr>
          <w:rFonts w:hint="eastAsia" w:hAnsi="宋体" w:cs="宋体"/>
          <w:color w:val="000000" w:themeColor="text1"/>
          <w:sz w:val="21"/>
          <w:szCs w:val="21"/>
          <w:lang w:eastAsia="zh-CN"/>
          <w14:textFill>
            <w14:solidFill>
              <w14:schemeClr w14:val="tx1"/>
            </w14:solidFill>
          </w14:textFill>
        </w:rPr>
        <w:t>投标人</w:t>
      </w:r>
      <w:r>
        <w:rPr>
          <w:rFonts w:hint="eastAsia" w:hAnsi="宋体" w:cs="宋体"/>
          <w:color w:val="000000" w:themeColor="text1"/>
          <w:sz w:val="21"/>
          <w:szCs w:val="21"/>
          <w14:textFill>
            <w14:solidFill>
              <w14:schemeClr w14:val="tx1"/>
            </w14:solidFill>
          </w14:textFill>
        </w:rPr>
        <w:t>的实验室必须是取得《医疗机构执业许可证》的专业检验中心</w:t>
      </w:r>
      <w:r>
        <w:rPr>
          <w:rFonts w:hint="eastAsia"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投标人实验室有参加国家卫生部以及省</w:t>
      </w:r>
      <w:r>
        <w:rPr>
          <w:rFonts w:hint="eastAsia" w:ascii="宋体" w:hAnsi="宋体" w:cs="宋体"/>
          <w:color w:val="000000" w:themeColor="text1"/>
          <w:sz w:val="21"/>
          <w:szCs w:val="21"/>
          <w:lang w:val="en-US" w:eastAsia="zh-CN"/>
          <w14:textFill>
            <w14:solidFill>
              <w14:schemeClr w14:val="tx1"/>
            </w14:solidFill>
          </w14:textFill>
        </w:rPr>
        <w:t>级</w:t>
      </w:r>
      <w:bookmarkStart w:id="2" w:name="_GoBack"/>
      <w:bookmarkEnd w:id="2"/>
      <w:r>
        <w:rPr>
          <w:rFonts w:hint="eastAsia" w:ascii="宋体" w:hAnsi="宋体" w:cs="宋体"/>
          <w:color w:val="000000" w:themeColor="text1"/>
          <w:sz w:val="21"/>
          <w:szCs w:val="21"/>
          <w14:textFill>
            <w14:solidFill>
              <w14:schemeClr w14:val="tx1"/>
            </w14:solidFill>
          </w14:textFill>
        </w:rPr>
        <w:t>临床检验中心组织的室间质评</w:t>
      </w:r>
      <w:r>
        <w:rPr>
          <w:rFonts w:hint="eastAsia" w:ascii="宋体"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ascii="宋体" w:hAnsi="宋体" w:cs="宋体"/>
          <w:color w:val="000000" w:themeColor="text1"/>
          <w:sz w:val="21"/>
          <w:szCs w:val="21"/>
          <w14:textFill>
            <w14:solidFill>
              <w14:schemeClr w14:val="tx1"/>
            </w14:solidFill>
          </w14:textFill>
        </w:rPr>
        <w:t>实验室须</w:t>
      </w:r>
      <w:r>
        <w:rPr>
          <w:rFonts w:hint="eastAsia" w:ascii="宋体" w:hAnsi="宋体" w:cs="宋体"/>
          <w:color w:val="000000" w:themeColor="text1"/>
          <w:sz w:val="21"/>
          <w:szCs w:val="21"/>
          <w14:textFill>
            <w14:solidFill>
              <w14:schemeClr w14:val="tx1"/>
            </w14:solidFill>
          </w14:textFill>
        </w:rPr>
        <w:t>具有临床检验中心颁发PCR临床基因扩增检验实验室技术审核验收合格证书</w:t>
      </w:r>
      <w:r>
        <w:rPr>
          <w:rFonts w:hint="eastAsia" w:ascii="宋体"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投标人实验室需拥有专业的技术人员，</w:t>
      </w:r>
      <w:r>
        <w:rPr>
          <w:rFonts w:hint="eastAsia"/>
          <w:color w:val="000000" w:themeColor="text1"/>
          <w:sz w:val="21"/>
          <w:szCs w:val="21"/>
          <w:lang w:val="en-US" w:eastAsia="zh-CN"/>
          <w14:textFill>
            <w14:solidFill>
              <w14:schemeClr w14:val="tx1"/>
            </w14:solidFill>
          </w14:textFill>
        </w:rPr>
        <w:t>具备相应资质，</w:t>
      </w:r>
      <w:r>
        <w:rPr>
          <w:rFonts w:hint="eastAsia"/>
          <w:color w:val="000000" w:themeColor="text1"/>
          <w:sz w:val="21"/>
          <w:szCs w:val="21"/>
          <w14:textFill>
            <w14:solidFill>
              <w14:schemeClr w14:val="tx1"/>
            </w14:solidFill>
          </w14:textFill>
        </w:rPr>
        <w:t>可提供专业的医学检验服务</w:t>
      </w:r>
      <w:r>
        <w:rPr>
          <w:rFonts w:hint="eastAsia"/>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投标人出具报告快速、准确，可充分满足临床需求</w:t>
      </w:r>
      <w:r>
        <w:rPr>
          <w:rFonts w:hint="eastAsia"/>
          <w:color w:val="000000" w:themeColor="text1"/>
          <w:sz w:val="21"/>
          <w:szCs w:val="21"/>
          <w:highlight w:val="none"/>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snapToGrid w:val="0"/>
          <w:spacing w:val="4"/>
          <w:kern w:val="0"/>
          <w:sz w:val="21"/>
          <w:szCs w:val="21"/>
          <w:highlight w:val="none"/>
          <w:lang w:val="en-US" w:eastAsia="zh-CN"/>
        </w:rPr>
        <w:t>投标人拥有权威医学院校的技术支撑，具有与医学院校遗传代谢病实验室合作的文件证明，可提供专家咨询、后续的治疗方案指导</w:t>
      </w:r>
      <w:r>
        <w:rPr>
          <w:rFonts w:hint="eastAsia" w:asciiTheme="minorEastAsia" w:hAnsiTheme="minorEastAsia" w:cstheme="minorEastAsia"/>
          <w:b w:val="0"/>
          <w:bCs/>
          <w:snapToGrid w:val="0"/>
          <w:spacing w:val="4"/>
          <w:kern w:val="0"/>
          <w:sz w:val="21"/>
          <w:szCs w:val="21"/>
          <w:highlight w:val="none"/>
          <w:lang w:val="en-US" w:eastAsia="zh-CN"/>
        </w:rPr>
        <w:t>与</w:t>
      </w:r>
      <w:r>
        <w:rPr>
          <w:rFonts w:hint="eastAsia" w:asciiTheme="minorEastAsia" w:hAnsiTheme="minorEastAsia" w:eastAsiaTheme="minorEastAsia" w:cstheme="minorEastAsia"/>
          <w:b w:val="0"/>
          <w:bCs/>
          <w:snapToGrid w:val="0"/>
          <w:spacing w:val="4"/>
          <w:kern w:val="0"/>
          <w:sz w:val="21"/>
          <w:szCs w:val="21"/>
          <w:highlight w:val="none"/>
          <w:lang w:val="en-US" w:eastAsia="zh-CN"/>
        </w:rPr>
        <w:t>绿色</w:t>
      </w:r>
      <w:r>
        <w:rPr>
          <w:rFonts w:hint="eastAsia" w:asciiTheme="minorEastAsia" w:hAnsiTheme="minorEastAsia" w:cstheme="minorEastAsia"/>
          <w:b w:val="0"/>
          <w:bCs/>
          <w:snapToGrid w:val="0"/>
          <w:spacing w:val="4"/>
          <w:kern w:val="0"/>
          <w:sz w:val="21"/>
          <w:szCs w:val="21"/>
          <w:highlight w:val="none"/>
          <w:lang w:val="en-US" w:eastAsia="zh-CN"/>
        </w:rPr>
        <w:t>通道</w:t>
      </w:r>
      <w:r>
        <w:rPr>
          <w:rFonts w:hint="eastAsia" w:asciiTheme="minorEastAsia" w:hAnsiTheme="minorEastAsia" w:eastAsiaTheme="minorEastAsia" w:cstheme="minorEastAsia"/>
          <w:b w:val="0"/>
          <w:bCs/>
          <w:snapToGrid w:val="0"/>
          <w:spacing w:val="4"/>
          <w:kern w:val="0"/>
          <w:sz w:val="21"/>
          <w:szCs w:val="21"/>
          <w:highlight w:val="none"/>
          <w:lang w:val="en-US" w:eastAsia="zh-CN"/>
        </w:rPr>
        <w:t>转诊服务</w:t>
      </w:r>
      <w:r>
        <w:rPr>
          <w:rFonts w:hint="eastAsia" w:asciiTheme="minorEastAsia" w:hAnsiTheme="minorEastAsia" w:cstheme="minorEastAsia"/>
          <w:b w:val="0"/>
          <w:bCs/>
          <w:snapToGrid w:val="0"/>
          <w:spacing w:val="4"/>
          <w:kern w:val="0"/>
          <w:sz w:val="21"/>
          <w:szCs w:val="21"/>
          <w:highlight w:val="none"/>
          <w:lang w:val="en-US" w:eastAsia="zh-CN"/>
        </w:rPr>
        <w:t>（提供文件证明）</w:t>
      </w:r>
      <w:r>
        <w:rPr>
          <w:rFonts w:hint="eastAsia" w:asciiTheme="minorEastAsia" w:hAnsiTheme="minorEastAsia" w:eastAsiaTheme="minorEastAsia" w:cstheme="minorEastAsia"/>
          <w:b w:val="0"/>
          <w:bCs/>
          <w:snapToGrid w:val="0"/>
          <w:spacing w:val="4"/>
          <w:kern w:val="0"/>
          <w:sz w:val="21"/>
          <w:szCs w:val="21"/>
          <w:highlight w:val="none"/>
          <w:lang w:val="en-US" w:eastAsia="zh-CN"/>
        </w:rPr>
        <w:t>，</w:t>
      </w:r>
      <w:r>
        <w:rPr>
          <w:rFonts w:hint="eastAsia" w:asciiTheme="minorEastAsia" w:hAnsiTheme="minorEastAsia" w:cstheme="minorEastAsia"/>
          <w:b w:val="0"/>
          <w:bCs/>
          <w:snapToGrid w:val="0"/>
          <w:spacing w:val="4"/>
          <w:kern w:val="0"/>
          <w:sz w:val="21"/>
          <w:szCs w:val="21"/>
          <w:highlight w:val="none"/>
          <w:lang w:val="en-US" w:eastAsia="zh-CN"/>
        </w:rPr>
        <w:t>以及</w:t>
      </w:r>
      <w:r>
        <w:rPr>
          <w:rFonts w:hint="eastAsia" w:asciiTheme="minorEastAsia" w:hAnsiTheme="minorEastAsia" w:eastAsiaTheme="minorEastAsia" w:cstheme="minorEastAsia"/>
          <w:b w:val="0"/>
          <w:bCs/>
          <w:snapToGrid w:val="0"/>
          <w:spacing w:val="4"/>
          <w:kern w:val="0"/>
          <w:sz w:val="21"/>
          <w:szCs w:val="21"/>
          <w:highlight w:val="none"/>
          <w:lang w:val="en-US" w:eastAsia="zh-CN"/>
        </w:rPr>
        <w:t>定期的专业培训与诊疗指导、学术课题科研合作等服务。</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投标人保证按国家相关</w:t>
      </w:r>
      <w:r>
        <w:rPr>
          <w:color w:val="000000" w:themeColor="text1"/>
          <w:sz w:val="21"/>
          <w:szCs w:val="21"/>
          <w:highlight w:val="none"/>
          <w14:textFill>
            <w14:solidFill>
              <w14:schemeClr w14:val="tx1"/>
            </w14:solidFill>
          </w14:textFill>
        </w:rPr>
        <w:t>检验</w:t>
      </w:r>
      <w:r>
        <w:rPr>
          <w:rFonts w:hint="eastAsia"/>
          <w:color w:val="000000" w:themeColor="text1"/>
          <w:sz w:val="21"/>
          <w:szCs w:val="21"/>
          <w:highlight w:val="none"/>
          <w14:textFill>
            <w14:solidFill>
              <w14:schemeClr w14:val="tx1"/>
            </w14:solidFill>
          </w14:textFill>
        </w:rPr>
        <w:t>规范进行操作，按照规范流程进行标本保存、运输与</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，及时出具</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结果报告并对来样</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结果负责。</w:t>
      </w:r>
    </w:p>
    <w:p>
      <w:pPr>
        <w:pStyle w:val="13"/>
        <w:widowControl/>
        <w:numPr>
          <w:ilvl w:val="0"/>
          <w:numId w:val="2"/>
        </w:numPr>
        <w:shd w:val="clear" w:color="auto" w:fill="FFFFFF"/>
        <w:autoSpaceDE/>
        <w:autoSpaceDN/>
        <w:adjustRightInd/>
        <w:spacing w:line="276" w:lineRule="auto"/>
        <w:ind w:firstLineChars="0"/>
        <w:rPr>
          <w:rFonts w:cs="宋体" w:hAnsiTheme="minorHAnsi"/>
          <w:color w:val="000000" w:themeColor="text1"/>
          <w:sz w:val="21"/>
          <w:szCs w:val="21"/>
          <w:highlight w:val="none"/>
          <w14:textFill>
            <w14:solidFill>
              <w14:schemeClr w14:val="tx1"/>
            </w14:solidFill>
          </w14:textFill>
        </w:rPr>
      </w:pPr>
      <w:r>
        <w:rPr>
          <w:rFonts w:hint="eastAsia" w:cs="宋体" w:hAnsiTheme="minorHAnsi"/>
          <w:color w:val="000000" w:themeColor="text1"/>
          <w:sz w:val="21"/>
          <w:szCs w:val="21"/>
          <w:highlight w:val="none"/>
          <w:lang w:val="en-US" w:eastAsia="zh-CN"/>
          <w14:textFill>
            <w14:solidFill>
              <w14:schemeClr w14:val="tx1"/>
            </w14:solidFill>
          </w14:textFill>
        </w:rPr>
        <w:t>中标人</w:t>
      </w:r>
      <w:r>
        <w:rPr>
          <w:rFonts w:hint="eastAsia" w:cs="宋体" w:hAnsiTheme="minorHAnsi"/>
          <w:color w:val="000000" w:themeColor="text1"/>
          <w:sz w:val="21"/>
          <w:szCs w:val="21"/>
          <w:highlight w:val="none"/>
          <w14:textFill>
            <w14:solidFill>
              <w14:schemeClr w14:val="tx1"/>
            </w14:solidFill>
          </w14:textFill>
        </w:rPr>
        <w:t>安排专业工作人员</w:t>
      </w:r>
      <w:r>
        <w:rPr>
          <w:rFonts w:hint="eastAsia" w:cs="宋体" w:hAnsiTheme="minorHAnsi"/>
          <w:color w:val="000000" w:themeColor="text1"/>
          <w:sz w:val="21"/>
          <w:szCs w:val="21"/>
          <w:highlight w:val="none"/>
          <w:lang w:val="en-US" w:eastAsia="zh-CN"/>
          <w14:textFill>
            <w14:solidFill>
              <w14:schemeClr w14:val="tx1"/>
            </w14:solidFill>
          </w14:textFill>
        </w:rPr>
        <w:t>到医院门诊与科室进行项目知识科普，以及</w:t>
      </w:r>
      <w:r>
        <w:rPr>
          <w:rFonts w:hint="eastAsia" w:cs="宋体" w:hAnsiTheme="minorHAnsi"/>
          <w:color w:val="000000" w:themeColor="text1"/>
          <w:sz w:val="21"/>
          <w:szCs w:val="21"/>
          <w:highlight w:val="none"/>
          <w14:textFill>
            <w14:solidFill>
              <w14:schemeClr w14:val="tx1"/>
            </w14:solidFill>
          </w14:textFill>
        </w:rPr>
        <w:t>负责项目相关问题的说明与解答、送检标本的收取与寄送、检测结果报告的发放等具体工作</w:t>
      </w:r>
      <w:r>
        <w:rPr>
          <w:rFonts w:hint="eastAsia" w:cs="宋体" w:hAnsiTheme="minorHAnsi"/>
          <w:color w:val="000000" w:themeColor="text1"/>
          <w:sz w:val="21"/>
          <w:szCs w:val="21"/>
          <w:highlight w:val="none"/>
          <w:lang w:eastAsia="zh-CN"/>
          <w14:textFill>
            <w14:solidFill>
              <w14:schemeClr w14:val="tx1"/>
            </w14:solidFill>
          </w14:textFill>
        </w:rPr>
        <w:t>。</w:t>
      </w:r>
      <w:r>
        <w:rPr>
          <w:rFonts w:hint="eastAsia" w:cs="宋体" w:hAnsiTheme="minorHAnsi"/>
          <w:color w:val="000000" w:themeColor="text1"/>
          <w:sz w:val="21"/>
          <w:szCs w:val="21"/>
          <w:highlight w:val="none"/>
          <w:lang w:val="en-US" w:eastAsia="zh-CN"/>
          <w14:textFill>
            <w14:solidFill>
              <w14:schemeClr w14:val="tx1"/>
            </w14:solidFill>
          </w14:textFill>
        </w:rPr>
        <w:t>中标人</w:t>
      </w:r>
      <w:r>
        <w:rPr>
          <w:rFonts w:hint="eastAsia" w:cs="宋体" w:hAnsiTheme="minorHAnsi"/>
          <w:color w:val="000000" w:themeColor="text1"/>
          <w:sz w:val="21"/>
          <w:szCs w:val="21"/>
          <w:highlight w:val="none"/>
          <w:lang w:eastAsia="zh-CN"/>
          <w14:textFill>
            <w14:solidFill>
              <w14:schemeClr w14:val="tx1"/>
            </w14:solidFill>
          </w14:textFill>
        </w:rPr>
        <w:t>工作人员应提供相应的工作资料给</w:t>
      </w:r>
      <w:r>
        <w:rPr>
          <w:rFonts w:hint="eastAsia" w:cs="宋体" w:hAnsiTheme="minorHAnsi"/>
          <w:color w:val="000000" w:themeColor="text1"/>
          <w:sz w:val="21"/>
          <w:szCs w:val="21"/>
          <w:highlight w:val="none"/>
          <w:lang w:val="en-US" w:eastAsia="zh-CN"/>
          <w14:textFill>
            <w14:solidFill>
              <w14:schemeClr w14:val="tx1"/>
            </w14:solidFill>
          </w14:textFill>
        </w:rPr>
        <w:t>医院</w:t>
      </w:r>
      <w:r>
        <w:rPr>
          <w:rFonts w:hint="eastAsia" w:cs="宋体" w:hAnsiTheme="minorHAnsi"/>
          <w:color w:val="000000" w:themeColor="text1"/>
          <w:sz w:val="21"/>
          <w:szCs w:val="21"/>
          <w:highlight w:val="none"/>
          <w:lang w:eastAsia="zh-CN"/>
          <w14:textFill>
            <w14:solidFill>
              <w14:schemeClr w14:val="tx1"/>
            </w14:solidFill>
          </w14:textFill>
        </w:rPr>
        <w:t>备案。</w:t>
      </w:r>
    </w:p>
    <w:p>
      <w:pPr>
        <w:pStyle w:val="13"/>
        <w:widowControl/>
        <w:numPr>
          <w:ilvl w:val="0"/>
          <w:numId w:val="2"/>
        </w:numPr>
        <w:shd w:val="clear" w:color="auto" w:fill="FFFFFF"/>
        <w:autoSpaceDE/>
        <w:autoSpaceDN/>
        <w:adjustRightInd/>
        <w:spacing w:line="276" w:lineRule="auto"/>
        <w:ind w:firstLineChars="0"/>
        <w:rPr>
          <w:rFonts w:cs="宋体" w:hAnsiTheme="minorHAnsi"/>
          <w:color w:val="000000" w:themeColor="text1"/>
          <w:sz w:val="21"/>
          <w:szCs w:val="21"/>
          <w:highlight w:val="none"/>
          <w14:textFill>
            <w14:solidFill>
              <w14:schemeClr w14:val="tx1"/>
            </w14:solidFill>
          </w14:textFill>
        </w:rPr>
      </w:pPr>
      <w:r>
        <w:rPr>
          <w:rFonts w:hint="eastAsia" w:cs="宋体" w:hAnsiTheme="minorHAnsi"/>
          <w:color w:val="000000" w:themeColor="text1"/>
          <w:sz w:val="21"/>
          <w:szCs w:val="21"/>
          <w:highlight w:val="none"/>
          <w14:textFill>
            <w14:solidFill>
              <w14:schemeClr w14:val="tx1"/>
            </w14:solidFill>
          </w14:textFill>
        </w:rPr>
        <w:t>在服务采购期限内，若采购人增加本项目清单外的中标人</w:t>
      </w:r>
      <w:r>
        <w:rPr>
          <w:rFonts w:cs="宋体" w:hAnsiTheme="minorHAnsi"/>
          <w:color w:val="000000" w:themeColor="text1"/>
          <w:sz w:val="21"/>
          <w:szCs w:val="21"/>
          <w:highlight w:val="none"/>
          <w14:textFill>
            <w14:solidFill>
              <w14:schemeClr w14:val="tx1"/>
            </w14:solidFill>
          </w14:textFill>
        </w:rPr>
        <w:t>有资格开展的</w:t>
      </w:r>
      <w:r>
        <w:rPr>
          <w:rFonts w:hint="eastAsia" w:cs="宋体" w:hAnsiTheme="minorHAnsi"/>
          <w:color w:val="000000" w:themeColor="text1"/>
          <w:sz w:val="21"/>
          <w:szCs w:val="21"/>
          <w:highlight w:val="none"/>
          <w14:textFill>
            <w14:solidFill>
              <w14:schemeClr w14:val="tx1"/>
            </w14:solidFill>
          </w14:textFill>
        </w:rPr>
        <w:t>检测项目时，中标人应尽量配合开展，经双方同意送检的检测项目，按本章第</w:t>
      </w:r>
      <w:r>
        <w:rPr>
          <w:rFonts w:hint="eastAsia" w:cs="宋体" w:hAnsiTheme="minorHAnsi"/>
          <w:color w:val="000000" w:themeColor="text1"/>
          <w:sz w:val="21"/>
          <w:szCs w:val="21"/>
          <w:highlight w:val="none"/>
          <w:lang w:val="en-US" w:eastAsia="zh-CN"/>
          <w14:textFill>
            <w14:solidFill>
              <w14:schemeClr w14:val="tx1"/>
            </w14:solidFill>
          </w14:textFill>
        </w:rPr>
        <w:t>一</w:t>
      </w:r>
      <w:r>
        <w:rPr>
          <w:rFonts w:hint="eastAsia" w:cs="宋体" w:hAnsiTheme="minorHAnsi"/>
          <w:color w:val="000000" w:themeColor="text1"/>
          <w:sz w:val="21"/>
          <w:szCs w:val="21"/>
          <w:highlight w:val="none"/>
          <w14:textFill>
            <w14:solidFill>
              <w14:schemeClr w14:val="tx1"/>
            </w14:solidFill>
          </w14:textFill>
        </w:rPr>
        <w:t>项商务要求的</w:t>
      </w:r>
      <w:r>
        <w:rPr>
          <w:rFonts w:hint="eastAsia" w:cs="宋体" w:hAnsiTheme="minorHAnsi"/>
          <w:color w:val="000000" w:themeColor="text1"/>
          <w:sz w:val="21"/>
          <w:szCs w:val="21"/>
          <w:highlight w:val="none"/>
          <w:lang w:val="en-US" w:eastAsia="zh-CN"/>
          <w14:textFill>
            <w14:solidFill>
              <w14:schemeClr w14:val="tx1"/>
            </w14:solidFill>
          </w14:textFill>
        </w:rPr>
        <w:t>第</w:t>
      </w:r>
      <w:r>
        <w:rPr>
          <w:rFonts w:hint="eastAsia" w:cs="宋体" w:hAnsiTheme="minorHAnsi"/>
          <w:color w:val="000000" w:themeColor="text1"/>
          <w:sz w:val="21"/>
          <w:szCs w:val="21"/>
          <w:highlight w:val="none"/>
          <w14:textFill>
            <w14:solidFill>
              <w14:schemeClr w14:val="tx1"/>
            </w14:solidFill>
          </w14:textFill>
        </w:rPr>
        <w:t>6条款执行。</w:t>
      </w:r>
    </w:p>
    <w:p>
      <w:pPr>
        <w:pStyle w:val="4"/>
        <w:numPr>
          <w:ilvl w:val="0"/>
          <w:numId w:val="3"/>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服务内容要求</w:t>
      </w:r>
    </w:p>
    <w:p>
      <w:pPr>
        <w:widowControl w:val="0"/>
        <w:numPr>
          <w:ilvl w:val="0"/>
          <w:numId w:val="0"/>
        </w:numPr>
        <w:ind w:firstLine="482" w:firstLineChars="200"/>
        <w:jc w:val="both"/>
        <w:rPr>
          <w:rFonts w:hint="eastAsia"/>
          <w:b/>
          <w:bCs/>
          <w:sz w:val="24"/>
          <w:szCs w:val="32"/>
          <w:lang w:val="en-US" w:eastAsia="zh-CN"/>
        </w:rPr>
      </w:pPr>
      <w:r>
        <w:rPr>
          <w:rFonts w:hint="eastAsia"/>
          <w:b/>
          <w:bCs/>
          <w:color w:val="000000" w:themeColor="text1"/>
          <w:sz w:val="24"/>
          <w:szCs w:val="32"/>
          <w:lang w:val="en-US" w:eastAsia="zh-CN"/>
          <w14:textFill>
            <w14:solidFill>
              <w14:schemeClr w14:val="tx1"/>
            </w14:solidFill>
          </w14:textFill>
        </w:rPr>
        <w:t>①</w:t>
      </w:r>
      <w:r>
        <w:rPr>
          <w:rFonts w:hint="eastAsia"/>
          <w:b/>
          <w:bCs/>
          <w:color w:val="000000" w:themeColor="text1"/>
          <w:sz w:val="24"/>
          <w:szCs w:val="32"/>
          <w14:textFill>
            <w14:solidFill>
              <w14:schemeClr w14:val="tx1"/>
            </w14:solidFill>
          </w14:textFill>
        </w:rPr>
        <w:t>要求</w:t>
      </w:r>
      <w:r>
        <w:rPr>
          <w:rFonts w:hint="eastAsia"/>
          <w:b/>
          <w:bCs/>
          <w:sz w:val="24"/>
          <w:szCs w:val="32"/>
          <w:lang w:val="en-US" w:eastAsia="zh-CN"/>
        </w:rPr>
        <w:t>：供应商根据自身实际服务能力填写服务项目，我院将根据参与投标人的综合情况选出检测项目，最符合的一家或者多家。</w:t>
      </w:r>
    </w:p>
    <w:p>
      <w:pPr>
        <w:widowControl w:val="0"/>
        <w:numPr>
          <w:ilvl w:val="0"/>
          <w:numId w:val="0"/>
        </w:numPr>
        <w:ind w:firstLine="482" w:firstLineChars="200"/>
        <w:jc w:val="both"/>
        <w:rPr>
          <w:rFonts w:hint="default"/>
          <w:lang w:val="en-US" w:eastAsia="zh-CN"/>
        </w:rPr>
      </w:pPr>
      <w:r>
        <w:rPr>
          <w:rFonts w:hint="eastAsia"/>
          <w:b/>
          <w:bCs/>
          <w:sz w:val="24"/>
          <w:szCs w:val="32"/>
          <w:lang w:val="en-US" w:eastAsia="zh-CN"/>
        </w:rPr>
        <w:t>②内容：</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新生儿遗传代谢病质谱检测：该项目是对传统新生儿筛查的延伸和补充，采用质谱技术对严重危害新生儿智力体格发育的常见遗传代谢疾病进行检测，可通过一滴血检测60种遗传代谢病，通过一滴尿检测161种遗传代谢病，以避免和减少遗传代谢病对患儿造成的危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2、常见遗传病基因筛查：采用高通量测序技术针对新生儿常见的 160种常见遗传病进行基因测序，筛选出可能致病变异（单碱基替换以及小片段插入缺失变异），并针对基因变异进行分析，从而获得检测个体所携带致病突变，实现从基因水平上进行病因分析，联合表型与生化结果进行全面诊断，以更好地指导干预与治疗。</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3、NGS染色体异常检测：该项目是采用新一代的高通量测序技术（NGS）进行染色体异常检测，可全面检测受检者23对染色体异常情况，从而对流产、不良妊娠、不孕不育进行染色体遗传病因分析，也可以对发育迟缓、智力异常、表征异常的未成年个体和成人进行染色体原因查找，指导优生优育。</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4、叶酸与维生素B12利用能力基因检测：该项目是采用基因芯片法测定人群中叶酸代谢相关基因位点（MTRR A66G、MTHFR C677T、MTHFR A1298C）与维生素B12需求相关基因位点（FUT2 G772A）的差异，了解个体的叶酸与维生素B12的利用能力，可以精准评估孕前及孕期叶酸和维生素B12的需求量，制定科学有效合理的个性化补充方案，以达到相关疾病的早期预防、早期诊断和早期治疗。</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5、遗传性耳聋基因检测：该项目是采用基因芯片技术对受检者携带耳聋基因缺陷的情况进行检测分析，通过一滴血即可对6个常见耳聋基因包括（线粒体12SrRNA基因、GJB2基因、SLC26A4（PDS）基因、GJB3基因、MT-CO1基因、USH2A基因）24个突变位点进行全面检测，弥补了常规新生儿听力筛查易漏检的缺陷，早期发现迟发性耳聋和药物性耳聋易感人群，以达到早期干预和预防的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6、新生儿及儿童安全用药基因检测：该项目是针对0-15岁的新生儿及儿童，通过现已成熟的DNA检测技术，检测孩子用药相关基因，评估孩子对药物的疗效和不良反应。</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7、原发性免疫缺陷病是由基因突变引起的免疫细胞数量和（或）功能异常的一类致死性疾病，重症联合免疫缺陷病和X-连锁无丙种球蛋白血症是原发性免疫缺陷病中最严重、常见的类型。原发性免疫缺陷病筛查是采用实时荧光定量PCR技术辅助临床早期筛查发现重症联合免疫缺陷病和X-连锁无丙种球蛋白血症患儿，为患儿争取最佳治疗窗口期，提高后续诊治成功率和改善疾病预后，减少疾病对患儿造成的伤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8、黄疸常见遗传病基因检测是一项针对临床具有黄疸表型的新生儿的检测项目，该检测涵盖29种可导致病理性黄疸表型的遗传病，通过采集受检者的血液样本，并进行DNA提取，采用高通量测序技术，对常见的黄疸致病基因进行测序检测及分析，捕捉致病变异，辅助临床排查导致黄疸的常见遗传性疾病，明确病因，实现对新生儿黄疸快速、精准的干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9、早发性卵巢功能不全常见基因检测采用高通量测序技术，针对采集的标本（外周血），一次性全面检测与POI密切相关35个基因，以帮助临床进行POI病因学分析与诊断，为下一步诊疗提供科学依据。该项目依靠国内外50多个权威的开源数据库，具有一次采样即可检测POI相关常见35个基因、专业的报告解读与遗传咨询服务等优势。</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10、女性生殖道感染常见病原体检测是指采用先进的医学分子生物学方法，针对采集的标本（拭子），一次性全面检测与女性生殖道感染（主要为阴道炎、宫颈炎、常见性传播疾病）密切相关21种常见病原体，以帮助临床进行生殖道感染性疾病病原体确认，为下一步诊疗提供科学依据。</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bookmarkStart w:id="0" w:name="OLE_LINK13"/>
      <w:bookmarkStart w:id="1" w:name="OLE_LINK12"/>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11、Y染色体微缺失检测</w:t>
      </w:r>
      <w:bookmarkEnd w:id="0"/>
      <w:bookmarkEnd w:id="1"/>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是采用先进的实时荧光定量PCR技术，选取欧洲男科学会和欧洲分子基因诊断质量联盟推荐的无精子症缺失基因（DAZ基因）上的6个经典序列表及位点（STS）：AZFa:sY84、sY86；AZFb:sY127、sY134；AZFc:sY254、sY255进行检测，从分子水平有效排查无精子症或少精子症患者的病因，为优生优育提供可靠的临床指导依据。</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12、脊髓性肌萎缩症（spinal muscular atrophy，SMA）是儿童最常见的神经肌肉病，以脊髓前角α‑运动神经元退化变性导致的肌无力和肌萎缩为主要临床特征。患儿会逐渐丧失包含呼吸、吞咽的各种运动神经功能，但认知功能和感觉系统不受影响，最终多死于窒息或营养不良。95%的SMA患者是因为遗传了来自父母双方的7号外显子缺失的SMN1基因，脊髓性肌萎缩症（SMA）基因检测通过PCR-熔解曲线法，对样本中运动神经元存活基因SMN1基因第7外显子和第8外显子的拷贝数进行检测，可用于不同人群脊髓性肌萎缩症（SMA）的筛查及辅助诊断。</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13、单基因遗传病携带者筛查：在妊娠前或妊娠早期通过高通量测序等方法，检测表型正常的夫妇是否携带有常染色体或X连锁隐性遗传病相关的基因突变，一次性筛查多种遗传病，从而对受检夫妇进行生育风险评估及指导生育决策，达到降低出生缺陷率的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14、TORCH病原体核酸检测：通过荧光定量PCR法对弓形虫(TOX)、风疹病毒(RV)、巨细胞(CMV)、单纯疱疹I/II(HSVI/II)型5种病原体核酸进行检测，了解备孕期或孕早期妇女体内是否存在活动性感染的病原体，准确发现现症感染依据，评估孕期的风险，从而针对性制订相应的防治措施。同时也可用于诊断胎儿是否存在宫内感染以及产后感染监控，最终达到优生优育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15、常见遗传病基因致病变异检测（基础版）通过对新生儿常见的遗传病的热点致病位点进行检测，从而判断受检者致病变异的携带情况，评估患病风险。如肝豆状核变性，可以在任何年龄起病，但多见于5~35岁，临床上易被误诊或漏诊。目前尚未纳入常规筛查体系，于新生儿期或儿童早期进行基因筛查有助于快速发现潜在“患者”，在症状前有效干预，避免疾病危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16、遗传代谢病基因变异检测通过高通量测序技术，针对新生儿血尿质谱检测异常或疑似遗传代谢病患儿，分析遗传代谢病相关的100多个常见致病基因。</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17、宫颈细胞DNA倍体分析：宫颈细胞DNA定量分析技术主要通过对细胞核内DNA含量或倍体的测定来判断细胞的生理状态和病理改变，对宫颈细胞DNA自动检测是针对人体细胞DNA含量的检测，是直接指标。可以防止宫颈疾病的过诊断和过治疗，为临床提供明确的指标，可作为TCT的升级版本与HPV联合用于宫颈癌筛查。</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18、染色体基因芯片分析CMA：检测常规染色体核型分析可检测出的唐氏综合征、18三体综合征、13三体综合征以及一些大的染色体缺失/重复外，还可以检测到常规核型分析不能检测出的染色体微缺失和/或微重复。对于不明原因的发育迟缓/智力障碍、自闭症以及先天性多发畸形的患者而言，CMA的诊断率（15%~20%）与常规染色体核型分析（3%）相比高出5倍左右，能大幅度提高检出率。CMA能为临床医生提供更为详细和明确的染色体诊断结果，帮助临床医生为患者提供更好的临床诊疗和临床护理。</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19、矮小症基因检测：检测矮小症患儿的基因序列及相关基因点位，从基因层面上进行病因分析，联合症状、基因表型、生化结果进行全面诊断，以便采取合适的治疗和康复措施。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20、智力障碍基因检测：检测智力障碍患儿的基因序列及相关基因点位，从基因层面上进行病因分析，联合症状、基因表型、生化结果进行全面诊断，以便采取合适的治疗和康复措施。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21、孤独症基因检测：检测孤独症患儿的基因序列及相关基因点位，从基因层面上进行病因分析，联合症状、基因表型、生化结果进行全面诊断，以便采取合适的治疗和康复措施。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22、雷特（Rett）综合征基因检测：检测相关基因点位，从基因层面上进行病因分析，获得检测个体所携带致病突变，明确病因，以便采取合适的治疗和康复措施。</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）标本送检要求</w:t>
      </w:r>
    </w:p>
    <w:p>
      <w:pPr>
        <w:spacing w:line="276" w:lineRule="auto"/>
        <w:ind w:left="1" w:firstLine="281" w:firstLineChars="134"/>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承担样本收取与寄送工作，有专门工作人员负责，上门服务时间为周一至周六  08:00-18:00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）报告质量和时间要求</w:t>
      </w:r>
    </w:p>
    <w:p>
      <w:pPr>
        <w:keepNext w:val="0"/>
        <w:keepLines w:val="0"/>
        <w:pageBreakBefore w:val="0"/>
        <w:widowControl w:val="0"/>
        <w:kinsoku/>
        <w:wordWrap/>
        <w:overflowPunct/>
        <w:topLinePunct w:val="0"/>
        <w:bidi w:val="0"/>
        <w:snapToGrid/>
        <w:spacing w:line="276" w:lineRule="auto"/>
        <w:jc w:val="both"/>
        <w:textAlignment w:val="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有专业的遗传代谢病专家或临床医师对检测</w:t>
      </w:r>
      <w:r>
        <w:rPr>
          <w:rFonts w:hint="eastAsia" w:hAnsi="宋体" w:cs="宋体"/>
          <w:color w:val="000000" w:themeColor="text1"/>
          <w:sz w:val="21"/>
          <w:szCs w:val="21"/>
          <w:highlight w:val="none"/>
          <w:lang w:val="en-US" w:eastAsia="zh-CN"/>
          <w14:textFill>
            <w14:solidFill>
              <w14:schemeClr w14:val="tx1"/>
            </w14:solidFill>
          </w14:textFill>
        </w:rPr>
        <w:t>数据</w:t>
      </w:r>
      <w:r>
        <w:rPr>
          <w:rFonts w:hint="eastAsia" w:hAnsi="宋体" w:cs="宋体"/>
          <w:color w:val="000000" w:themeColor="text1"/>
          <w:sz w:val="21"/>
          <w:szCs w:val="21"/>
          <w:highlight w:val="none"/>
          <w14:textFill>
            <w14:solidFill>
              <w14:schemeClr w14:val="tx1"/>
            </w14:solidFill>
          </w14:textFill>
        </w:rPr>
        <w:t>进行审核判读、对检测结果进行分析，以及给出专业的治疗指导意见或下一步的检查建议。</w:t>
      </w:r>
    </w:p>
    <w:p>
      <w:pPr>
        <w:keepNext w:val="0"/>
        <w:keepLines w:val="0"/>
        <w:pageBreakBefore w:val="0"/>
        <w:widowControl w:val="0"/>
        <w:kinsoku/>
        <w:wordWrap/>
        <w:overflowPunct/>
        <w:topLinePunct w:val="0"/>
        <w:bidi w:val="0"/>
        <w:snapToGrid/>
        <w:spacing w:line="276" w:lineRule="auto"/>
        <w:jc w:val="both"/>
        <w:textAlignment w:val="auto"/>
        <w:rPr>
          <w:rFonts w:hint="default"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2</w:t>
      </w:r>
      <w:r>
        <w:rPr>
          <w:rFonts w:hint="eastAsia" w:hAnsi="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检测结果</w:t>
      </w:r>
      <w:r>
        <w:rPr>
          <w:rFonts w:hint="eastAsia" w:hAnsi="宋体" w:cs="宋体"/>
          <w:color w:val="000000" w:themeColor="text1"/>
          <w:sz w:val="21"/>
          <w:szCs w:val="21"/>
          <w:lang w:val="en-US" w:eastAsia="zh-CN"/>
          <w14:textFill>
            <w14:solidFill>
              <w14:schemeClr w14:val="tx1"/>
            </w14:solidFill>
          </w14:textFill>
        </w:rPr>
        <w:t>报告时间要求</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2.1 新生儿遗传代谢病检测</w:t>
      </w:r>
      <w:r>
        <w:rPr>
          <w:rFonts w:hint="eastAsia" w:hAnsi="宋体" w:cs="宋体"/>
          <w:color w:val="000000" w:themeColor="text1"/>
          <w:sz w:val="21"/>
          <w:szCs w:val="21"/>
          <w14:textFill>
            <w14:solidFill>
              <w14:schemeClr w14:val="tx1"/>
            </w14:solidFill>
          </w14:textFill>
        </w:rPr>
        <w:t>：正常情况下，不得超过7个工作日出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w:t>
      </w:r>
      <w:r>
        <w:rPr>
          <w:rFonts w:hint="eastAsia" w:hAnsi="宋体" w:cs="宋体"/>
          <w:color w:val="000000" w:themeColor="text1"/>
          <w:sz w:val="21"/>
          <w:szCs w:val="21"/>
          <w:lang w:val="en-US" w:eastAsia="zh-CN"/>
          <w14:textFill>
            <w14:solidFill>
              <w14:schemeClr w14:val="tx1"/>
            </w14:solidFill>
          </w14:textFill>
        </w:rPr>
        <w:t>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2.2 常见遗传病基因筛查（即常见遗传病基因致病变异检测）</w:t>
      </w:r>
      <w:r>
        <w:rPr>
          <w:rFonts w:hint="eastAsia" w:hAnsi="宋体" w:cs="宋体"/>
          <w:color w:val="000000" w:themeColor="text1"/>
          <w:sz w:val="21"/>
          <w:szCs w:val="21"/>
          <w14:textFill>
            <w14:solidFill>
              <w14:schemeClr w14:val="tx1"/>
            </w14:solidFill>
          </w14:textFill>
        </w:rPr>
        <w:t>：正常情况下，不得超过1</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2.3 </w:t>
      </w:r>
      <w:r>
        <w:rPr>
          <w:rFonts w:hint="eastAsia" w:hAnsi="宋体" w:cs="宋体"/>
          <w:color w:val="000000" w:themeColor="text1"/>
          <w:sz w:val="21"/>
          <w:szCs w:val="21"/>
          <w:lang w:eastAsia="zh-CN"/>
          <w14:textFill>
            <w14:solidFill>
              <w14:schemeClr w14:val="tx1"/>
            </w14:solidFill>
          </w14:textFill>
        </w:rPr>
        <w:t>原发性免疫缺陷病筛查</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2.4 </w:t>
      </w:r>
      <w:r>
        <w:rPr>
          <w:rFonts w:hint="eastAsia" w:hAnsi="宋体" w:cs="宋体"/>
          <w:color w:val="000000" w:themeColor="text1"/>
          <w:sz w:val="21"/>
          <w:szCs w:val="21"/>
          <w:lang w:eastAsia="zh-CN"/>
          <w14:textFill>
            <w14:solidFill>
              <w14:schemeClr w14:val="tx1"/>
            </w14:solidFill>
          </w14:textFill>
        </w:rPr>
        <w:t>黄疸常见遗传病基因检测</w:t>
      </w:r>
      <w:r>
        <w:rPr>
          <w:rFonts w:hint="eastAsia" w:hAnsi="宋体" w:cs="宋体"/>
          <w:color w:val="000000" w:themeColor="text1"/>
          <w:sz w:val="21"/>
          <w:szCs w:val="21"/>
          <w14:textFill>
            <w14:solidFill>
              <w14:schemeClr w14:val="tx1"/>
            </w14:solidFill>
          </w14:textFill>
        </w:rPr>
        <w:t>：正常情况下，不得超过1</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 新生儿及儿童安全用药基因检测：</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 遗传性耳聋基因检测：</w:t>
      </w:r>
      <w:r>
        <w:rPr>
          <w:rFonts w:hint="eastAsia" w:ascii="宋体" w:hAnsi="宋体" w:eastAsia="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ascii="宋体" w:hAnsi="宋体" w:eastAsia="宋体" w:cs="宋体"/>
          <w:color w:val="000000" w:themeColor="text1"/>
          <w:sz w:val="21"/>
          <w:szCs w:val="21"/>
          <w14:textFill>
            <w14:solidFill>
              <w14:schemeClr w14:val="tx1"/>
            </w14:solidFill>
          </w14:textFill>
        </w:rPr>
        <w:t>检测结果报告</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2.7 </w:t>
      </w:r>
      <w:r>
        <w:rPr>
          <w:rFonts w:hint="eastAsia" w:hAnsi="宋体" w:cs="宋体"/>
          <w:color w:val="000000" w:themeColor="text1"/>
          <w:sz w:val="21"/>
          <w:szCs w:val="21"/>
          <w:lang w:eastAsia="zh-CN"/>
          <w14:textFill>
            <w14:solidFill>
              <w14:schemeClr w14:val="tx1"/>
            </w14:solidFill>
          </w14:textFill>
        </w:rPr>
        <w:t>NGS染色体异常检测：</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2.8 </w:t>
      </w:r>
      <w:r>
        <w:rPr>
          <w:rFonts w:hint="eastAsia" w:hAnsi="宋体" w:cs="宋体"/>
          <w:color w:val="000000" w:themeColor="text1"/>
          <w:sz w:val="21"/>
          <w:szCs w:val="21"/>
          <w:highlight w:val="none"/>
          <w:lang w:eastAsia="zh-CN"/>
          <w14:textFill>
            <w14:solidFill>
              <w14:schemeClr w14:val="tx1"/>
            </w14:solidFill>
          </w14:textFill>
        </w:rPr>
        <w:t>早发性卵巢功能不全常见基因检测</w:t>
      </w:r>
      <w:r>
        <w:rPr>
          <w:rFonts w:hint="eastAsia" w:hAnsi="宋体" w:cs="宋体"/>
          <w:color w:val="000000" w:themeColor="text1"/>
          <w:sz w:val="21"/>
          <w:szCs w:val="21"/>
          <w:highlight w:val="none"/>
          <w14:textFill>
            <w14:solidFill>
              <w14:schemeClr w14:val="tx1"/>
            </w14:solidFill>
          </w14:textFill>
        </w:rPr>
        <w:t>：正常情况下，不得超过14个工作日出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2.9 女性生殖道感染常见病原体检测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7</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 xml:space="preserve">2.10 </w:t>
      </w:r>
      <w:r>
        <w:rPr>
          <w:rFonts w:hint="eastAsia" w:asciiTheme="minorEastAsia" w:hAnsiTheme="minorEastAsia" w:eastAsiaTheme="minorEastAsia" w:cstheme="minorEastAsia"/>
          <w:sz w:val="21"/>
          <w:szCs w:val="21"/>
          <w:lang w:val="en-US" w:eastAsia="zh-CN"/>
        </w:rPr>
        <w:t>叶酸与维生素B12利用能力基因检测：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10</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Y染色体微缺失检测：</w:t>
      </w:r>
      <w:r>
        <w:rPr>
          <w:rFonts w:hint="eastAsia" w:ascii="宋体" w:hAnsi="宋体" w:eastAsia="宋体" w:cs="宋体"/>
          <w:color w:val="000000" w:themeColor="text1"/>
          <w:sz w:val="21"/>
          <w:szCs w:val="21"/>
          <w:highlight w:val="none"/>
          <w14:textFill>
            <w14:solidFill>
              <w14:schemeClr w14:val="tx1"/>
            </w14:solidFill>
          </w14:textFill>
        </w:rPr>
        <w:t>正常情况下，不得超过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ascii="宋体" w:hAnsi="宋体" w:eastAsia="宋体" w:cs="宋体"/>
          <w:color w:val="000000" w:themeColor="text1"/>
          <w:sz w:val="21"/>
          <w:szCs w:val="21"/>
          <w:highlight w:val="none"/>
          <w14:textFill>
            <w14:solidFill>
              <w14:schemeClr w14:val="tx1"/>
            </w14:solidFill>
          </w14:textFill>
        </w:rPr>
        <w:t>检测结果报告</w:t>
      </w:r>
      <w:r>
        <w:rPr>
          <w:rFonts w:hint="eastAsia" w:ascii="宋体"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2.12</w:t>
      </w:r>
      <w:r>
        <w:rPr>
          <w:rFonts w:hint="eastAsia" w:ascii="宋体" w:hAnsi="宋体" w:cs="宋体"/>
          <w:sz w:val="21"/>
          <w:szCs w:val="21"/>
          <w:lang w:val="en-US" w:eastAsia="zh-CN"/>
        </w:rPr>
        <w:t>脊髓性肌萎缩症（SMA）基因检测：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10</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2.13 TORCH病原体核酸检测</w:t>
      </w:r>
      <w:r>
        <w:rPr>
          <w:rFonts w:hint="eastAsia" w:ascii="宋体" w:hAnsi="宋体" w:cs="宋体"/>
          <w:sz w:val="21"/>
          <w:szCs w:val="21"/>
          <w:lang w:val="en-US" w:eastAsia="zh-CN"/>
        </w:rPr>
        <w:t>：</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2.14</w:t>
      </w:r>
      <w:r>
        <w:rPr>
          <w:rFonts w:hint="eastAsia" w:ascii="宋体" w:hAnsi="宋体" w:eastAsia="宋体" w:cs="宋体"/>
          <w:sz w:val="21"/>
          <w:szCs w:val="21"/>
          <w:lang w:val="en-US" w:eastAsia="zh-CN"/>
        </w:rPr>
        <w:t>单基因遗传病携带者筛查（核心版）：</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21</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lang w:val="en-US" w:eastAsia="zh-CN"/>
        </w:rPr>
        <w:t>单基因遗传病携带者筛查（扩展版）：</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25</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2.15 常见遗传病基因致病变异检测（基础版）：正常情况下，不得超过14个工作日出具检测结果报告。</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2.16 遗传代谢病基因变异检测：正常情况下，不得超过14个工作日出具检测结果报告。</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）患者服务要求</w:t>
      </w:r>
    </w:p>
    <w:p>
      <w:pPr>
        <w:spacing w:line="276" w:lineRule="auto"/>
        <w:ind w:left="1" w:firstLine="491" w:firstLineChars="234"/>
        <w:jc w:val="both"/>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给予电子版</w:t>
      </w:r>
      <w:r>
        <w:rPr>
          <w:rFonts w:hint="eastAsia" w:hAnsi="宋体" w:cs="宋体"/>
          <w:color w:val="000000" w:themeColor="text1"/>
          <w:sz w:val="21"/>
          <w:szCs w:val="21"/>
          <w:highlight w:val="none"/>
          <w:lang w:val="en-US" w:eastAsia="zh-CN"/>
          <w14:textFill>
            <w14:solidFill>
              <w14:schemeClr w14:val="tx1"/>
            </w14:solidFill>
          </w14:textFill>
        </w:rPr>
        <w:t>检测结果</w:t>
      </w:r>
      <w:r>
        <w:rPr>
          <w:rFonts w:hint="eastAsia" w:hAnsi="宋体" w:cs="宋体"/>
          <w:color w:val="000000" w:themeColor="text1"/>
          <w:sz w:val="21"/>
          <w:szCs w:val="21"/>
          <w:highlight w:val="none"/>
          <w14:textFill>
            <w14:solidFill>
              <w14:schemeClr w14:val="tx1"/>
            </w14:solidFill>
          </w14:textFill>
        </w:rPr>
        <w:t>报告，</w:t>
      </w:r>
      <w:r>
        <w:rPr>
          <w:rFonts w:hint="eastAsia" w:hAnsi="宋体" w:cs="宋体"/>
          <w:color w:val="000000" w:themeColor="text1"/>
          <w:sz w:val="21"/>
          <w:szCs w:val="21"/>
          <w:highlight w:val="none"/>
          <w:lang w:val="en-US" w:eastAsia="zh-CN"/>
          <w14:textFill>
            <w14:solidFill>
              <w14:schemeClr w14:val="tx1"/>
            </w14:solidFill>
          </w14:textFill>
        </w:rPr>
        <w:t>受检者家属可通过公众号平台查询并下载电子版结果报告，或由工作人员发放纸质版结果报告给医院或受检者家属</w:t>
      </w:r>
      <w:r>
        <w:rPr>
          <w:rFonts w:hint="eastAsia" w:hAnsi="宋体" w:cs="宋体"/>
          <w:color w:val="000000" w:themeColor="text1"/>
          <w:sz w:val="21"/>
          <w:szCs w:val="21"/>
          <w:highlight w:val="none"/>
          <w:lang w:eastAsia="zh-CN"/>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）增值服务要求</w:t>
      </w:r>
    </w:p>
    <w:p>
      <w:pPr>
        <w:keepNext w:val="0"/>
        <w:keepLines w:val="0"/>
        <w:pageBreakBefore w:val="0"/>
        <w:widowControl w:val="0"/>
        <w:kinsoku/>
        <w:wordWrap/>
        <w:overflowPunct/>
        <w:topLinePunct w:val="0"/>
        <w:autoSpaceDE w:val="0"/>
        <w:autoSpaceDN w:val="0"/>
        <w:bidi w:val="0"/>
        <w:adjustRightInd w:val="0"/>
        <w:snapToGrid/>
        <w:spacing w:line="276" w:lineRule="auto"/>
        <w:jc w:val="both"/>
        <w:textAlignment w:val="auto"/>
        <w:rPr>
          <w:rFonts w:hint="eastAsia"/>
          <w:highlight w:val="none"/>
          <w:lang w:val="en-US" w:eastAsia="zh-CN"/>
        </w:rPr>
      </w:pPr>
      <w:r>
        <w:rPr>
          <w:rFonts w:hint="eastAsia" w:hAnsi="宋体"/>
          <w:snapToGrid w:val="0"/>
          <w:color w:val="000000" w:themeColor="text1"/>
          <w:sz w:val="21"/>
          <w:szCs w:val="21"/>
          <w:highlight w:val="none"/>
          <w:lang w:val="en-GB"/>
          <w14:textFill>
            <w14:solidFill>
              <w14:schemeClr w14:val="tx1"/>
            </w14:solidFill>
          </w14:textFill>
        </w:rPr>
        <w:t>★</w:t>
      </w:r>
      <w:r>
        <w:rPr>
          <w:rFonts w:hint="eastAsia" w:ascii="宋体" w:hAnsi="宋体" w:eastAsia="宋体" w:cs="宋体"/>
          <w:sz w:val="21"/>
          <w:szCs w:val="21"/>
          <w:highlight w:val="none"/>
          <w:lang w:val="en-US" w:eastAsia="zh-CN"/>
        </w:rPr>
        <w:t>1.常见遗传病基因筛查（即常见遗传病基因致病变异检测）</w:t>
      </w:r>
      <w:r>
        <w:rPr>
          <w:rFonts w:hint="eastAsia" w:hAnsi="宋体" w:cs="宋体"/>
          <w:color w:val="000000"/>
          <w:sz w:val="21"/>
          <w:szCs w:val="21"/>
          <w:highlight w:val="none"/>
          <w:lang w:val="en-US" w:eastAsia="zh-CN"/>
        </w:rPr>
        <w:t>可提供遗传咨询与阳性随访服务：</w:t>
      </w:r>
      <w:r>
        <w:rPr>
          <w:rFonts w:hint="eastAsia"/>
          <w:highlight w:val="none"/>
          <w:lang w:val="en-US" w:eastAsia="zh-CN"/>
        </w:rPr>
        <w:br w:type="textWrapping"/>
      </w:r>
      <w:r>
        <w:rPr>
          <w:rFonts w:hint="eastAsia"/>
          <w:sz w:val="21"/>
          <w:szCs w:val="21"/>
          <w:highlight w:val="none"/>
          <w:lang w:val="en-US" w:eastAsia="zh-CN"/>
        </w:rPr>
        <w:t>1.1 所有结果均发送短信通知家属，针对需验证患儿，客服主动致电家属，告知进一步检测；</w:t>
      </w:r>
      <w:r>
        <w:rPr>
          <w:rFonts w:hint="eastAsia"/>
          <w:sz w:val="21"/>
          <w:szCs w:val="21"/>
          <w:highlight w:val="none"/>
          <w:lang w:val="en-US" w:eastAsia="zh-CN"/>
        </w:rPr>
        <w:br w:type="textWrapping"/>
      </w:r>
      <w:r>
        <w:rPr>
          <w:rFonts w:hint="eastAsia"/>
          <w:sz w:val="21"/>
          <w:szCs w:val="21"/>
          <w:highlight w:val="none"/>
          <w:lang w:val="en-US" w:eastAsia="zh-CN"/>
        </w:rPr>
        <w:t>1.2 需验证患儿及高风险患儿，遗传咨询及随访团队2个工作日内主动拨打遗传咨询电话，进行报告解读和遗传咨询；</w:t>
      </w:r>
      <w:r>
        <w:rPr>
          <w:rFonts w:hint="eastAsia"/>
          <w:sz w:val="21"/>
          <w:szCs w:val="21"/>
          <w:highlight w:val="none"/>
          <w:lang w:val="en-US" w:eastAsia="zh-CN"/>
        </w:rPr>
        <w:br w:type="textWrapping"/>
      </w:r>
      <w:r>
        <w:rPr>
          <w:rFonts w:hint="eastAsia"/>
          <w:sz w:val="21"/>
          <w:szCs w:val="21"/>
          <w:highlight w:val="none"/>
          <w:lang w:val="en-US" w:eastAsia="zh-CN"/>
        </w:rPr>
        <w:t>1.3 按疾病种类分不同频率随访，如对于早发疾病在出生后即进行较频繁的随访，频率根据情况调整，约1~3月一次；对于晚发疾病在患儿发病前进行半年或一年一次的定期随访，发病后根据情况可转为较频繁的随访，频率根据情况调整，约1~3月一次，若家属不主动退出，则持续随访。如：常染色体1A型耳聋遗传咨询及随访：1月龄、3月龄及三岁前每半年一次随访。三岁前共完成8次遗传咨询及随访。</w:t>
      </w:r>
    </w:p>
    <w:p>
      <w:pPr>
        <w:keepNext w:val="0"/>
        <w:keepLines w:val="0"/>
        <w:pageBreakBefore w:val="0"/>
        <w:widowControl w:val="0"/>
        <w:kinsoku/>
        <w:wordWrap/>
        <w:overflowPunct/>
        <w:topLinePunct w:val="0"/>
        <w:autoSpaceDE w:val="0"/>
        <w:autoSpaceDN w:val="0"/>
        <w:bidi w:val="0"/>
        <w:adjustRightInd w:val="0"/>
        <w:snapToGrid/>
        <w:spacing w:line="276" w:lineRule="auto"/>
        <w:jc w:val="both"/>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对</w:t>
      </w:r>
      <w:r>
        <w:rPr>
          <w:rFonts w:hint="eastAsia" w:hAnsi="宋体" w:cs="宋体"/>
          <w:color w:val="000000" w:themeColor="text1"/>
          <w:sz w:val="21"/>
          <w:szCs w:val="21"/>
          <w:highlight w:val="none"/>
          <w:lang w:val="en-US" w:eastAsia="zh-CN"/>
          <w14:textFill>
            <w14:solidFill>
              <w14:schemeClr w14:val="tx1"/>
            </w14:solidFill>
          </w14:textFill>
        </w:rPr>
        <w:t>采购人</w:t>
      </w:r>
      <w:r>
        <w:rPr>
          <w:rFonts w:hint="eastAsia" w:hAnsi="宋体" w:cs="宋体"/>
          <w:color w:val="000000" w:themeColor="text1"/>
          <w:sz w:val="21"/>
          <w:szCs w:val="21"/>
          <w:highlight w:val="none"/>
          <w14:textFill>
            <w14:solidFill>
              <w14:schemeClr w14:val="tx1"/>
            </w14:solidFill>
          </w14:textFill>
        </w:rPr>
        <w:t>在诊断、治疗等方面的疑问给予及时的应答，</w:t>
      </w:r>
      <w:r>
        <w:rPr>
          <w:rFonts w:hint="eastAsia" w:hAnsi="宋体" w:cs="宋体"/>
          <w:color w:val="000000" w:themeColor="text1"/>
          <w:sz w:val="21"/>
          <w:szCs w:val="21"/>
          <w:highlight w:val="none"/>
          <w:lang w:val="en-US" w:eastAsia="zh-CN"/>
          <w14:textFill>
            <w14:solidFill>
              <w14:schemeClr w14:val="tx1"/>
            </w14:solidFill>
          </w14:textFill>
        </w:rPr>
        <w:t>以及</w:t>
      </w:r>
      <w:r>
        <w:rPr>
          <w:rFonts w:hint="eastAsia" w:hAnsi="宋体" w:cs="宋体"/>
          <w:color w:val="000000" w:themeColor="text1"/>
          <w:sz w:val="21"/>
          <w:szCs w:val="21"/>
          <w:highlight w:val="none"/>
          <w14:textFill>
            <w14:solidFill>
              <w14:schemeClr w14:val="tx1"/>
            </w14:solidFill>
          </w14:textFill>
        </w:rPr>
        <w:t>对</w:t>
      </w:r>
      <w:r>
        <w:rPr>
          <w:rFonts w:hint="eastAsia" w:hAnsi="宋体" w:cs="宋体"/>
          <w:color w:val="000000" w:themeColor="text1"/>
          <w:sz w:val="21"/>
          <w:szCs w:val="21"/>
          <w:highlight w:val="none"/>
          <w:lang w:val="en-US" w:eastAsia="zh-CN"/>
          <w14:textFill>
            <w14:solidFill>
              <w14:schemeClr w14:val="tx1"/>
            </w14:solidFill>
          </w14:textFill>
        </w:rPr>
        <w:t>采购人</w:t>
      </w:r>
      <w:r>
        <w:rPr>
          <w:rFonts w:hint="eastAsia" w:hAnsi="宋体" w:cs="宋体"/>
          <w:color w:val="000000" w:themeColor="text1"/>
          <w:sz w:val="21"/>
          <w:szCs w:val="21"/>
          <w:highlight w:val="none"/>
          <w14:textFill>
            <w14:solidFill>
              <w14:schemeClr w14:val="tx1"/>
            </w14:solidFill>
          </w14:textFill>
        </w:rPr>
        <w:t>进行科研活动或论文发表提供支持与帮助</w:t>
      </w:r>
      <w:r>
        <w:rPr>
          <w:rFonts w:hint="eastAsia" w:hAnsi="宋体" w:cs="宋体"/>
          <w:color w:val="000000" w:themeColor="text1"/>
          <w:sz w:val="21"/>
          <w:szCs w:val="21"/>
          <w:highlight w:val="none"/>
          <w:lang w:eastAsia="zh-CN"/>
          <w14:textFill>
            <w14:solidFill>
              <w14:schemeClr w14:val="tx1"/>
            </w14:solidFill>
          </w14:textFill>
        </w:rPr>
        <w:t>。</w:t>
      </w:r>
    </w:p>
    <w:p>
      <w:pPr>
        <w:pStyle w:val="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项目违约责任</w:t>
      </w:r>
    </w:p>
    <w:p>
      <w:pPr>
        <w:pStyle w:val="5"/>
        <w:spacing w:line="276"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1. </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若因</w:t>
      </w:r>
      <w:r>
        <w:rPr>
          <w:rFonts w:hint="eastAsia" w:asciiTheme="minorEastAsia" w:hAnsiTheme="minorEastAsia" w:eastAsiaTheme="minorEastAsia"/>
          <w:color w:val="000000" w:themeColor="text1"/>
          <w:sz w:val="21"/>
          <w:szCs w:val="21"/>
          <w14:textFill>
            <w14:solidFill>
              <w14:schemeClr w14:val="tx1"/>
            </w14:solidFill>
          </w14:textFill>
        </w:rPr>
        <w:t>中标人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原因</w:t>
      </w:r>
      <w:r>
        <w:rPr>
          <w:rFonts w:hint="eastAsia" w:asciiTheme="minorEastAsia" w:hAnsiTheme="minorEastAsia" w:eastAsiaTheme="minorEastAsia"/>
          <w:color w:val="000000" w:themeColor="text1"/>
          <w:sz w:val="21"/>
          <w:szCs w:val="21"/>
          <w14:textFill>
            <w14:solidFill>
              <w14:schemeClr w14:val="tx1"/>
            </w14:solidFill>
          </w14:textFill>
        </w:rPr>
        <w:t>导致医疗事故的误差，由中标人承担相应的法律责任，并赔偿采购人的损失</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采购人有权单方终止合同。</w:t>
      </w:r>
    </w:p>
    <w:p>
      <w:pPr>
        <w:pStyle w:val="5"/>
        <w:spacing w:line="276"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2. </w:t>
      </w:r>
      <w:r>
        <w:rPr>
          <w:rFonts w:hint="eastAsia" w:asciiTheme="minorEastAsia" w:hAnsiTheme="minorEastAsia" w:eastAsiaTheme="minorEastAsia"/>
          <w:color w:val="000000" w:themeColor="text1"/>
          <w:sz w:val="21"/>
          <w:szCs w:val="21"/>
          <w14:textFill>
            <w14:solidFill>
              <w14:schemeClr w14:val="tx1"/>
            </w14:solidFill>
          </w14:textFill>
        </w:rPr>
        <w:t>中标人对采购人送检的合格样本结果负责，对于按照中标人要求取材的合格样本，若因中标人原因导致检测结果存在质量问题，由中标人承担相应责任。</w:t>
      </w:r>
    </w:p>
    <w:p>
      <w:pPr>
        <w:pStyle w:val="5"/>
        <w:spacing w:line="276" w:lineRule="auto"/>
        <w:ind w:firstLine="0" w:firstLineChars="0"/>
        <w:rPr>
          <w:rFonts w:hint="eastAsia" w:cs="宋体" w:hAnsiTheme="minorHAnsi" w:eastAsiaTheme="minorEastAsia"/>
          <w:color w:val="000000" w:themeColor="text1"/>
          <w:sz w:val="21"/>
          <w:szCs w:val="21"/>
          <w:lang w:eastAsia="zh-CN"/>
          <w14:textFill>
            <w14:solidFill>
              <w14:schemeClr w14:val="tx1"/>
            </w14:solidFill>
          </w14:textFill>
        </w:rPr>
        <w:sectPr>
          <w:footerReference r:id="rId3" w:type="default"/>
          <w:pgSz w:w="11906" w:h="16838"/>
          <w:pgMar w:top="1417" w:right="1417" w:bottom="1417" w:left="1417" w:header="851" w:footer="992" w:gutter="0"/>
          <w:cols w:space="0" w:num="1"/>
          <w:rtlGutter w:val="0"/>
          <w:docGrid w:type="lines" w:linePitch="312" w:charSpace="0"/>
        </w:sectPr>
      </w:pPr>
      <w:r>
        <w:rPr>
          <w:rFonts w:asciiTheme="minorEastAsia" w:hAnsiTheme="minorEastAsia" w:eastAsiaTheme="minorEastAsia"/>
          <w:color w:val="000000" w:themeColor="text1"/>
          <w:sz w:val="21"/>
          <w:szCs w:val="21"/>
          <w14:textFill>
            <w14:solidFill>
              <w14:schemeClr w14:val="tx1"/>
            </w14:solidFill>
          </w14:textFill>
        </w:rPr>
        <w:t xml:space="preserve">3. </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中标人</w:t>
      </w:r>
      <w:r>
        <w:rPr>
          <w:rFonts w:hint="eastAsia" w:asciiTheme="minorEastAsia" w:hAnsiTheme="minorEastAsia" w:eastAsiaTheme="minorEastAsia"/>
          <w:color w:val="000000" w:themeColor="text1"/>
          <w:sz w:val="21"/>
          <w:szCs w:val="21"/>
          <w14:textFill>
            <w14:solidFill>
              <w14:schemeClr w14:val="tx1"/>
            </w14:solidFill>
          </w14:textFill>
        </w:rPr>
        <w:t>应保证其用到本项目的专利、技术是其合格持有，且享有处分权，若因实施本项目的专利技术产生的侵权纠纷，采购人有权向中标人追究责任，并向中标人索赔因此受到的全部损失，并有权单方终止本项目合同</w:t>
      </w:r>
      <w:r>
        <w:rPr>
          <w:rFonts w:hint="eastAsia" w:asciiTheme="minorEastAsia" w:hAnsiTheme="minorEastAsia"/>
          <w:color w:val="000000" w:themeColor="text1"/>
          <w:sz w:val="21"/>
          <w:szCs w:val="21"/>
          <w:lang w:eastAsia="zh-CN"/>
          <w14:textFill>
            <w14:solidFill>
              <w14:schemeClr w14:val="tx1"/>
            </w14:solidFill>
          </w14:textFill>
        </w:rPr>
        <w:t>。</w:t>
      </w:r>
    </w:p>
    <w:p>
      <w:pPr>
        <w:widowControl/>
        <w:shd w:val="clear" w:color="auto" w:fill="FFFFFF"/>
        <w:wordWrap w:val="0"/>
        <w:jc w:val="left"/>
        <w:rPr>
          <w:rFonts w:hint="eastAsia" w:ascii="方正黑体_GBK" w:hAnsi="方正黑体_GBK" w:eastAsia="方正黑体_GBK" w:cs="方正黑体_GBK"/>
          <w:b w:val="0"/>
          <w:bCs/>
          <w:color w:val="333333"/>
          <w:kern w:val="0"/>
          <w:sz w:val="30"/>
          <w:szCs w:val="30"/>
          <w:lang w:eastAsia="zh-CN"/>
        </w:rPr>
      </w:pPr>
      <w:r>
        <w:rPr>
          <w:rFonts w:hint="default" w:ascii="Times New Roman" w:hAnsi="Times New Roman" w:eastAsia="微软雅黑" w:cs="Times New Roman"/>
          <w:color w:val="333333"/>
          <w:kern w:val="0"/>
          <w:sz w:val="24"/>
          <w:szCs w:val="24"/>
        </w:rPr>
        <w:t> </w:t>
      </w:r>
      <w:r>
        <w:rPr>
          <w:rFonts w:hint="eastAsia" w:ascii="方正黑体_GBK" w:hAnsi="方正黑体_GBK" w:eastAsia="方正黑体_GBK" w:cs="方正黑体_GBK"/>
          <w:b w:val="0"/>
          <w:bCs/>
          <w:color w:val="333333"/>
          <w:kern w:val="0"/>
          <w:sz w:val="30"/>
          <w:szCs w:val="30"/>
        </w:rPr>
        <w:t>附件</w:t>
      </w:r>
      <w:r>
        <w:rPr>
          <w:rFonts w:hint="eastAsia" w:ascii="方正黑体_GBK" w:hAnsi="方正黑体_GBK" w:eastAsia="方正黑体_GBK" w:cs="方正黑体_GBK"/>
          <w:b w:val="0"/>
          <w:bCs/>
          <w:color w:val="333333"/>
          <w:kern w:val="0"/>
          <w:sz w:val="30"/>
          <w:szCs w:val="30"/>
          <w:lang w:val="en-US" w:eastAsia="zh-CN"/>
        </w:rPr>
        <w:t>2</w:t>
      </w:r>
    </w:p>
    <w:p>
      <w:pPr>
        <w:widowControl/>
        <w:shd w:val="clear" w:color="auto" w:fill="FFFFFF"/>
        <w:wordWrap w:val="0"/>
        <w:jc w:val="center"/>
        <w:rPr>
          <w:rFonts w:hint="default" w:ascii="Times New Roman" w:hAnsi="Times New Roman" w:eastAsia="方正仿宋_GBK" w:cs="Times New Roman"/>
          <w:b/>
          <w:color w:val="333333"/>
          <w:kern w:val="0"/>
          <w:sz w:val="28"/>
          <w:szCs w:val="28"/>
        </w:rPr>
      </w:pPr>
      <w:r>
        <w:rPr>
          <w:rFonts w:hint="default" w:ascii="Times New Roman" w:hAnsi="Times New Roman" w:eastAsia="方正仿宋_GBK" w:cs="Times New Roman"/>
          <w:b/>
          <w:color w:val="333333"/>
          <w:kern w:val="0"/>
          <w:sz w:val="28"/>
          <w:szCs w:val="28"/>
        </w:rPr>
        <w:t>用户情况表</w:t>
      </w:r>
    </w:p>
    <w:p>
      <w:pPr>
        <w:widowControl/>
        <w:shd w:val="clear" w:color="auto" w:fill="FFFFFF"/>
        <w:wordWrap w:val="0"/>
        <w:jc w:val="center"/>
        <w:rPr>
          <w:rFonts w:hint="default" w:ascii="Times New Roman" w:hAnsi="Times New Roman" w:eastAsia="方正仿宋_GBK" w:cs="Times New Roman"/>
          <w:color w:val="333333"/>
          <w:kern w:val="0"/>
          <w:sz w:val="15"/>
          <w:szCs w:val="15"/>
        </w:rPr>
      </w:pPr>
    </w:p>
    <w:tbl>
      <w:tblPr>
        <w:tblStyle w:val="9"/>
        <w:tblW w:w="9085" w:type="dxa"/>
        <w:jc w:val="center"/>
        <w:tblInd w:w="-2870" w:type="dxa"/>
        <w:tblLayout w:type="fixed"/>
        <w:tblCellMar>
          <w:top w:w="0" w:type="dxa"/>
          <w:left w:w="0" w:type="dxa"/>
          <w:bottom w:w="0" w:type="dxa"/>
          <w:right w:w="0" w:type="dxa"/>
        </w:tblCellMar>
      </w:tblPr>
      <w:tblGrid>
        <w:gridCol w:w="2517"/>
        <w:gridCol w:w="3543"/>
        <w:gridCol w:w="2292"/>
        <w:gridCol w:w="733"/>
      </w:tblGrid>
      <w:tr>
        <w:tblPrEx>
          <w:tblLayout w:type="fixed"/>
          <w:tblCellMar>
            <w:top w:w="0" w:type="dxa"/>
            <w:left w:w="0" w:type="dxa"/>
            <w:bottom w:w="0" w:type="dxa"/>
            <w:right w:w="0" w:type="dxa"/>
          </w:tblCellMar>
        </w:tblPrEx>
        <w:trPr>
          <w:trHeight w:val="351"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用户名称</w:t>
            </w:r>
          </w:p>
        </w:tc>
        <w:tc>
          <w:tcPr>
            <w:tcW w:w="3543"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中标时间</w:t>
            </w:r>
          </w:p>
        </w:tc>
        <w:tc>
          <w:tcPr>
            <w:tcW w:w="229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联系人及联系方式</w:t>
            </w:r>
          </w:p>
        </w:tc>
        <w:tc>
          <w:tcPr>
            <w:tcW w:w="73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备注</w:t>
            </w: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1F45"/>
    <w:multiLevelType w:val="singleLevel"/>
    <w:tmpl w:val="3E4B1F45"/>
    <w:lvl w:ilvl="0" w:tentative="0">
      <w:start w:val="2"/>
      <w:numFmt w:val="chineseCounting"/>
      <w:suff w:val="nothing"/>
      <w:lvlText w:val="（%1）"/>
      <w:lvlJc w:val="left"/>
      <w:rPr>
        <w:rFonts w:hint="eastAsia"/>
      </w:rPr>
    </w:lvl>
  </w:abstractNum>
  <w:abstractNum w:abstractNumId="1">
    <w:nsid w:val="44F7725D"/>
    <w:multiLevelType w:val="multilevel"/>
    <w:tmpl w:val="44F772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DF210"/>
    <w:multiLevelType w:val="singleLevel"/>
    <w:tmpl w:val="5BFDF21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296"/>
    <w:rsid w:val="011A1088"/>
    <w:rsid w:val="01711645"/>
    <w:rsid w:val="02446B29"/>
    <w:rsid w:val="0252755F"/>
    <w:rsid w:val="02B46DB3"/>
    <w:rsid w:val="02E86F3A"/>
    <w:rsid w:val="030C35C5"/>
    <w:rsid w:val="03205641"/>
    <w:rsid w:val="03A07FBA"/>
    <w:rsid w:val="04210C41"/>
    <w:rsid w:val="046B72BB"/>
    <w:rsid w:val="05716ADF"/>
    <w:rsid w:val="05883CDD"/>
    <w:rsid w:val="05F612C9"/>
    <w:rsid w:val="072A319C"/>
    <w:rsid w:val="07662473"/>
    <w:rsid w:val="08020E10"/>
    <w:rsid w:val="08F14382"/>
    <w:rsid w:val="093E2737"/>
    <w:rsid w:val="096E606A"/>
    <w:rsid w:val="0A2C1BFD"/>
    <w:rsid w:val="0A4A5DD9"/>
    <w:rsid w:val="0A4B6B87"/>
    <w:rsid w:val="0A6A3F85"/>
    <w:rsid w:val="0AC1761C"/>
    <w:rsid w:val="0C4A3606"/>
    <w:rsid w:val="0C7F499B"/>
    <w:rsid w:val="0CAA6481"/>
    <w:rsid w:val="0CEA3ACD"/>
    <w:rsid w:val="0DAF2862"/>
    <w:rsid w:val="0E8C4F8E"/>
    <w:rsid w:val="0ED27464"/>
    <w:rsid w:val="0EF13243"/>
    <w:rsid w:val="0F0A6967"/>
    <w:rsid w:val="0FE65BBC"/>
    <w:rsid w:val="101179B5"/>
    <w:rsid w:val="10355F0E"/>
    <w:rsid w:val="10BE7389"/>
    <w:rsid w:val="10D85B96"/>
    <w:rsid w:val="122577E3"/>
    <w:rsid w:val="131A2EE2"/>
    <w:rsid w:val="15625B8B"/>
    <w:rsid w:val="15FC54A1"/>
    <w:rsid w:val="16B06650"/>
    <w:rsid w:val="16FE6DC3"/>
    <w:rsid w:val="171303FD"/>
    <w:rsid w:val="17250C81"/>
    <w:rsid w:val="17A40A32"/>
    <w:rsid w:val="181D3D04"/>
    <w:rsid w:val="186B546D"/>
    <w:rsid w:val="187F3C7F"/>
    <w:rsid w:val="18E93D9E"/>
    <w:rsid w:val="196B20FE"/>
    <w:rsid w:val="1AA80576"/>
    <w:rsid w:val="1B0254F2"/>
    <w:rsid w:val="1BB766F8"/>
    <w:rsid w:val="1C184B20"/>
    <w:rsid w:val="1C2C60A9"/>
    <w:rsid w:val="1C595A78"/>
    <w:rsid w:val="1C5B5A24"/>
    <w:rsid w:val="1CAF4080"/>
    <w:rsid w:val="1E33310B"/>
    <w:rsid w:val="1E4C0A25"/>
    <w:rsid w:val="1E547948"/>
    <w:rsid w:val="1FE316D3"/>
    <w:rsid w:val="201B2DB6"/>
    <w:rsid w:val="209D682E"/>
    <w:rsid w:val="21324FA0"/>
    <w:rsid w:val="216B05CA"/>
    <w:rsid w:val="22056D89"/>
    <w:rsid w:val="22342840"/>
    <w:rsid w:val="22A75229"/>
    <w:rsid w:val="234C3183"/>
    <w:rsid w:val="23B43A0F"/>
    <w:rsid w:val="23FC59BA"/>
    <w:rsid w:val="24666286"/>
    <w:rsid w:val="247822CF"/>
    <w:rsid w:val="252E3876"/>
    <w:rsid w:val="2546170D"/>
    <w:rsid w:val="25983684"/>
    <w:rsid w:val="25B656B9"/>
    <w:rsid w:val="26D56832"/>
    <w:rsid w:val="270F1529"/>
    <w:rsid w:val="282E3CE2"/>
    <w:rsid w:val="28437880"/>
    <w:rsid w:val="28A5328F"/>
    <w:rsid w:val="28AE5752"/>
    <w:rsid w:val="29B803D1"/>
    <w:rsid w:val="2BAE3347"/>
    <w:rsid w:val="2BCD222A"/>
    <w:rsid w:val="2CB35A6A"/>
    <w:rsid w:val="2D0C2946"/>
    <w:rsid w:val="2D22242F"/>
    <w:rsid w:val="2D3910C8"/>
    <w:rsid w:val="2D7B717E"/>
    <w:rsid w:val="2DA314E8"/>
    <w:rsid w:val="2E192F69"/>
    <w:rsid w:val="2EA72F09"/>
    <w:rsid w:val="2F6274D8"/>
    <w:rsid w:val="2FCC0B4B"/>
    <w:rsid w:val="301C0702"/>
    <w:rsid w:val="301C7BE4"/>
    <w:rsid w:val="308001AB"/>
    <w:rsid w:val="31A1313B"/>
    <w:rsid w:val="31CA1E7B"/>
    <w:rsid w:val="32225247"/>
    <w:rsid w:val="32495EE4"/>
    <w:rsid w:val="32713F0B"/>
    <w:rsid w:val="327D194D"/>
    <w:rsid w:val="32840513"/>
    <w:rsid w:val="334E0991"/>
    <w:rsid w:val="33AC2E87"/>
    <w:rsid w:val="33C205EF"/>
    <w:rsid w:val="33DE15B4"/>
    <w:rsid w:val="34DA1ECC"/>
    <w:rsid w:val="34E55139"/>
    <w:rsid w:val="352E5B25"/>
    <w:rsid w:val="357E70B7"/>
    <w:rsid w:val="35C13494"/>
    <w:rsid w:val="373A4D83"/>
    <w:rsid w:val="381A1656"/>
    <w:rsid w:val="38832820"/>
    <w:rsid w:val="38E05AE0"/>
    <w:rsid w:val="391E785E"/>
    <w:rsid w:val="39D5427F"/>
    <w:rsid w:val="3A553020"/>
    <w:rsid w:val="3B302559"/>
    <w:rsid w:val="3B4402DC"/>
    <w:rsid w:val="3B8B6851"/>
    <w:rsid w:val="3BAA6754"/>
    <w:rsid w:val="3BAD75A4"/>
    <w:rsid w:val="3CE75BF0"/>
    <w:rsid w:val="3D473B36"/>
    <w:rsid w:val="3D857E37"/>
    <w:rsid w:val="3E7C3E4E"/>
    <w:rsid w:val="3EA16BB4"/>
    <w:rsid w:val="3EBF1966"/>
    <w:rsid w:val="403E353E"/>
    <w:rsid w:val="408217E0"/>
    <w:rsid w:val="40860128"/>
    <w:rsid w:val="40C328A9"/>
    <w:rsid w:val="412F3CC5"/>
    <w:rsid w:val="4153166C"/>
    <w:rsid w:val="41790E0A"/>
    <w:rsid w:val="418F61BE"/>
    <w:rsid w:val="41C22E81"/>
    <w:rsid w:val="420B369C"/>
    <w:rsid w:val="43AD3DC1"/>
    <w:rsid w:val="44155ACA"/>
    <w:rsid w:val="4549081F"/>
    <w:rsid w:val="45D16F29"/>
    <w:rsid w:val="46190A37"/>
    <w:rsid w:val="464F4B08"/>
    <w:rsid w:val="46B97C96"/>
    <w:rsid w:val="472A31F2"/>
    <w:rsid w:val="4740416F"/>
    <w:rsid w:val="47581939"/>
    <w:rsid w:val="476630F7"/>
    <w:rsid w:val="47903FA9"/>
    <w:rsid w:val="480254C1"/>
    <w:rsid w:val="4821651A"/>
    <w:rsid w:val="49B10F79"/>
    <w:rsid w:val="4A17726B"/>
    <w:rsid w:val="4A635604"/>
    <w:rsid w:val="4AB039BE"/>
    <w:rsid w:val="4B047CAE"/>
    <w:rsid w:val="4B09246C"/>
    <w:rsid w:val="4B275813"/>
    <w:rsid w:val="4B712E34"/>
    <w:rsid w:val="4B7838EE"/>
    <w:rsid w:val="4B9D0DC2"/>
    <w:rsid w:val="4C414F20"/>
    <w:rsid w:val="4CD534B3"/>
    <w:rsid w:val="4CEA1ED9"/>
    <w:rsid w:val="4D03280C"/>
    <w:rsid w:val="4D045BA5"/>
    <w:rsid w:val="4D5F1531"/>
    <w:rsid w:val="4DF73365"/>
    <w:rsid w:val="4DF97A81"/>
    <w:rsid w:val="4E7244B2"/>
    <w:rsid w:val="4F472F9F"/>
    <w:rsid w:val="5169089C"/>
    <w:rsid w:val="51CA1180"/>
    <w:rsid w:val="520B5B6F"/>
    <w:rsid w:val="5396418D"/>
    <w:rsid w:val="541F0A40"/>
    <w:rsid w:val="541F3CC4"/>
    <w:rsid w:val="543C2CAB"/>
    <w:rsid w:val="54A7559A"/>
    <w:rsid w:val="54D32678"/>
    <w:rsid w:val="552472FC"/>
    <w:rsid w:val="55B77483"/>
    <w:rsid w:val="56BD3B45"/>
    <w:rsid w:val="57064F67"/>
    <w:rsid w:val="57124AB4"/>
    <w:rsid w:val="57E90FF0"/>
    <w:rsid w:val="58127912"/>
    <w:rsid w:val="58623172"/>
    <w:rsid w:val="588E181F"/>
    <w:rsid w:val="58B115AD"/>
    <w:rsid w:val="596738D1"/>
    <w:rsid w:val="59E61899"/>
    <w:rsid w:val="59FA7A11"/>
    <w:rsid w:val="5A4867A4"/>
    <w:rsid w:val="5BCE3E1F"/>
    <w:rsid w:val="5C987204"/>
    <w:rsid w:val="5D2B0B4D"/>
    <w:rsid w:val="5E5B1214"/>
    <w:rsid w:val="5E897BC9"/>
    <w:rsid w:val="60015D3C"/>
    <w:rsid w:val="60372993"/>
    <w:rsid w:val="605A118A"/>
    <w:rsid w:val="611560F3"/>
    <w:rsid w:val="612753BF"/>
    <w:rsid w:val="612F7ACD"/>
    <w:rsid w:val="61D46B9B"/>
    <w:rsid w:val="62406C7A"/>
    <w:rsid w:val="6289465F"/>
    <w:rsid w:val="62E669F9"/>
    <w:rsid w:val="639C221B"/>
    <w:rsid w:val="63F22F6F"/>
    <w:rsid w:val="64F119BE"/>
    <w:rsid w:val="650D36B8"/>
    <w:rsid w:val="65B66EA5"/>
    <w:rsid w:val="66573D80"/>
    <w:rsid w:val="66583429"/>
    <w:rsid w:val="665F6560"/>
    <w:rsid w:val="66780202"/>
    <w:rsid w:val="667C2A94"/>
    <w:rsid w:val="67347C10"/>
    <w:rsid w:val="67437FDB"/>
    <w:rsid w:val="686E36D7"/>
    <w:rsid w:val="69144082"/>
    <w:rsid w:val="696C2C39"/>
    <w:rsid w:val="699944F1"/>
    <w:rsid w:val="69D62167"/>
    <w:rsid w:val="6A0D1320"/>
    <w:rsid w:val="6A762A47"/>
    <w:rsid w:val="6A8217FC"/>
    <w:rsid w:val="6AAF33D6"/>
    <w:rsid w:val="6AC02F66"/>
    <w:rsid w:val="6AED7637"/>
    <w:rsid w:val="6B235C86"/>
    <w:rsid w:val="6B976728"/>
    <w:rsid w:val="6BB0404B"/>
    <w:rsid w:val="6BEF7522"/>
    <w:rsid w:val="6D0D05DB"/>
    <w:rsid w:val="6D2854B1"/>
    <w:rsid w:val="6DC01725"/>
    <w:rsid w:val="6F1D273D"/>
    <w:rsid w:val="6F693D7F"/>
    <w:rsid w:val="703E034D"/>
    <w:rsid w:val="704F3DB3"/>
    <w:rsid w:val="708B37A5"/>
    <w:rsid w:val="70AF794D"/>
    <w:rsid w:val="710831F6"/>
    <w:rsid w:val="71E70651"/>
    <w:rsid w:val="71FD209A"/>
    <w:rsid w:val="72075C2C"/>
    <w:rsid w:val="72200FD4"/>
    <w:rsid w:val="72A76898"/>
    <w:rsid w:val="72E82DA9"/>
    <w:rsid w:val="7372337B"/>
    <w:rsid w:val="7386241A"/>
    <w:rsid w:val="73FB15BE"/>
    <w:rsid w:val="743E3C39"/>
    <w:rsid w:val="749A5D60"/>
    <w:rsid w:val="749F461B"/>
    <w:rsid w:val="74B60C9A"/>
    <w:rsid w:val="74E90FCB"/>
    <w:rsid w:val="77883755"/>
    <w:rsid w:val="779F5D8C"/>
    <w:rsid w:val="77DA02BA"/>
    <w:rsid w:val="77F61E13"/>
    <w:rsid w:val="78FB53B0"/>
    <w:rsid w:val="794A6AA4"/>
    <w:rsid w:val="794D1EC1"/>
    <w:rsid w:val="79913AB7"/>
    <w:rsid w:val="7A381479"/>
    <w:rsid w:val="7A525DD0"/>
    <w:rsid w:val="7B6C3866"/>
    <w:rsid w:val="7BB9407D"/>
    <w:rsid w:val="7C6F7FEF"/>
    <w:rsid w:val="7CF713B7"/>
    <w:rsid w:val="7D3C74FB"/>
    <w:rsid w:val="7DFC6334"/>
    <w:rsid w:val="7E12288E"/>
    <w:rsid w:val="7E443E99"/>
    <w:rsid w:val="7EC21D16"/>
    <w:rsid w:val="7EF71FC5"/>
    <w:rsid w:val="7F5E5007"/>
    <w:rsid w:val="7FEA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5">
    <w:name w:val="Normal Indent"/>
    <w:basedOn w:val="1"/>
    <w:unhideWhenUsed/>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2020-11-04T06:54:00Z</dcterms:created>
  <dc:creator>Administrator</dc:creator>
  <cp:lastModifiedBy>昊蔚</cp:lastModifiedBy>
  <dcterms:modified xsi:type="dcterms:W3CDTF">2023-04-18T09:23:29Z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