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开展院内部分监控设施维修改造工程</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gridSpan w:val="5"/>
            <w:tcBorders>
              <w:top w:val="nil"/>
              <w:left w:val="nil"/>
              <w:bottom w:val="single" w:color="auto" w:sz="4" w:space="0"/>
              <w:right w:val="nil"/>
            </w:tcBorders>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b/>
                <w:i w:val="0"/>
                <w:color w:val="000000"/>
                <w:kern w:val="0"/>
                <w:sz w:val="32"/>
                <w:szCs w:val="32"/>
                <w:u w:val="none"/>
                <w:lang w:val="en-US" w:eastAsia="zh-CN" w:bidi="ar"/>
              </w:rPr>
              <w:t>医院1号楼地下停车场监控改造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序号</w:t>
            </w:r>
          </w:p>
        </w:tc>
        <w:tc>
          <w:tcPr>
            <w:tcW w:w="1704"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名称</w:t>
            </w:r>
          </w:p>
        </w:tc>
        <w:tc>
          <w:tcPr>
            <w:tcW w:w="1704"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参数</w:t>
            </w:r>
          </w:p>
        </w:tc>
        <w:tc>
          <w:tcPr>
            <w:tcW w:w="1705"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数量</w:t>
            </w:r>
          </w:p>
        </w:tc>
        <w:tc>
          <w:tcPr>
            <w:tcW w:w="1705"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摄枪式像机</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200万像素</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9</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黑体_GBK" w:hAnsi="方正黑体_GBK" w:eastAsia="方正黑体_GBK" w:cs="方正黑体_GBK"/>
                <w:b w:val="0"/>
                <w:bCs w:val="0"/>
                <w:i w:val="0"/>
                <w:caps w:val="0"/>
                <w:color w:val="auto"/>
                <w:spacing w:val="0"/>
                <w:sz w:val="32"/>
                <w:szCs w:val="32"/>
                <w:shd w:val="clear" w:fill="FFFFFF"/>
                <w:vertAlign w:val="baseline"/>
                <w:lang w:eastAsia="zh-CN"/>
              </w:rPr>
            </w:pPr>
            <w:r>
              <w:rPr>
                <w:rFonts w:hint="eastAsia" w:ascii="宋体" w:hAnsi="宋体" w:eastAsia="宋体" w:cs="宋体"/>
                <w:i w:val="0"/>
                <w:color w:val="000000"/>
                <w:kern w:val="0"/>
                <w:sz w:val="22"/>
                <w:szCs w:val="22"/>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设备箱</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金属喷塑</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9" w:hRule="atLeast"/>
        </w:trPr>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超五类室网线</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电源电缆</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4芯单模光缆</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光纤跳线</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法兰盘</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光纤收发器</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百兆、单模</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PVC管材</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摄像机支架</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楼层交换机16口</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HUAWEI-P</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摄像机电源</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小耳多</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终端盒</w:t>
            </w:r>
          </w:p>
        </w:tc>
        <w:tc>
          <w:tcPr>
            <w:tcW w:w="17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监控室搬迁改造</w:t>
      </w:r>
    </w:p>
    <w:tbl>
      <w:tblPr>
        <w:tblStyle w:val="7"/>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0"/>
        <w:gridCol w:w="1954"/>
        <w:gridCol w:w="1944"/>
        <w:gridCol w:w="1944"/>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24口核心交换机</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万兆、光口</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24口汇聚交换机</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千兆、电口</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服务器机柜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800*800*200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增加网络机柜</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600*600*1200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300*300桥架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300*300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机柜PDV</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8孔PDV</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4芯单模光缆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光纤配线架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尾纤</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光纤跳线</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法兰盘</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单模光模块</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千兆、单模</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发热门诊增加可视对讲系统</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名称</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参数</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拾音摄像机</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DS-2CD3346FWDA</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电脑麦克风</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电脑音箱</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设备箱</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金属喷塑</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NVR专用硬盘硬盘</w:t>
            </w:r>
          </w:p>
        </w:tc>
        <w:tc>
          <w:tcPr>
            <w:tcW w:w="170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4T</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0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default" w:ascii="宋体" w:hAnsi="宋体" w:eastAsia="宋体" w:cs="宋体"/>
          <w:b/>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供应商负责提供维修改造的材料、设备及走线埋管，</w:t>
      </w:r>
      <w:bookmarkStart w:id="3" w:name="_GoBack"/>
      <w:bookmarkEnd w:id="3"/>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18</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2.各参会供应商如对此项目有质疑、投诉，请于采购时间截止前即2022年11</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18</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D820ED4"/>
    <w:rsid w:val="0E0C3410"/>
    <w:rsid w:val="0EBA4E8E"/>
    <w:rsid w:val="0FE413DC"/>
    <w:rsid w:val="1162444E"/>
    <w:rsid w:val="117F2E61"/>
    <w:rsid w:val="13A77585"/>
    <w:rsid w:val="15133811"/>
    <w:rsid w:val="17053C88"/>
    <w:rsid w:val="170562A4"/>
    <w:rsid w:val="17D441AF"/>
    <w:rsid w:val="18790CAF"/>
    <w:rsid w:val="1CD0404A"/>
    <w:rsid w:val="1D322B81"/>
    <w:rsid w:val="1E1B6F14"/>
    <w:rsid w:val="1E315678"/>
    <w:rsid w:val="1E923C0E"/>
    <w:rsid w:val="1F13725E"/>
    <w:rsid w:val="20567118"/>
    <w:rsid w:val="212625BD"/>
    <w:rsid w:val="21AE4217"/>
    <w:rsid w:val="21B11EED"/>
    <w:rsid w:val="24E574D0"/>
    <w:rsid w:val="26556455"/>
    <w:rsid w:val="281F755F"/>
    <w:rsid w:val="28402FD3"/>
    <w:rsid w:val="2D656537"/>
    <w:rsid w:val="2E291F3F"/>
    <w:rsid w:val="30BD1723"/>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4497EEA"/>
    <w:rsid w:val="648A1EC2"/>
    <w:rsid w:val="649E29D3"/>
    <w:rsid w:val="657D120C"/>
    <w:rsid w:val="67163A13"/>
    <w:rsid w:val="6ADD2C72"/>
    <w:rsid w:val="6B803D0B"/>
    <w:rsid w:val="6D6B38DA"/>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2022-11-15T07:23:51Z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