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采购一套优生咨询云门诊系统</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496" w:type="dxa"/>
        <w:jc w:val="center"/>
        <w:tblInd w:w="-8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1"/>
        <w:gridCol w:w="4596"/>
        <w:gridCol w:w="681"/>
        <w:gridCol w:w="887"/>
        <w:gridCol w:w="9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hint="eastAsia" w:ascii="方正仿宋_GBK" w:hAnsi="方正仿宋_GBK" w:eastAsia="方正仿宋_GBK" w:cs="方正仿宋_GBK"/>
                <w:sz w:val="24"/>
                <w:szCs w:val="24"/>
              </w:rPr>
              <w:t>货物品名</w:t>
            </w:r>
          </w:p>
        </w:tc>
        <w:tc>
          <w:tcPr>
            <w:tcW w:w="45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cs="Arial"/>
                <w:sz w:val="24"/>
                <w:lang w:val="en-US" w:eastAsia="zh-CN"/>
              </w:rPr>
              <w:t>参数要求</w:t>
            </w:r>
          </w:p>
        </w:tc>
        <w:tc>
          <w:tcPr>
            <w:tcW w:w="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cs="Arial"/>
                <w:sz w:val="24"/>
              </w:rPr>
              <w:t>单位</w:t>
            </w:r>
          </w:p>
        </w:tc>
        <w:tc>
          <w:tcPr>
            <w:tcW w:w="8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仿宋" w:hAnsi="仿宋" w:eastAsia="仿宋"/>
                <w:sz w:val="24"/>
              </w:rPr>
            </w:pPr>
            <w:r>
              <w:rPr>
                <w:rFonts w:hint="eastAsia" w:ascii="仿宋" w:hAnsi="仿宋" w:eastAsia="仿宋" w:cs="Arial"/>
                <w:sz w:val="24"/>
              </w:rPr>
              <w:t>数量</w:t>
            </w:r>
          </w:p>
        </w:tc>
        <w:tc>
          <w:tcPr>
            <w:tcW w:w="9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优生咨询云门诊</w:t>
            </w:r>
          </w:p>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系统</w:t>
            </w:r>
          </w:p>
        </w:tc>
        <w:tc>
          <w:tcPr>
            <w:tcW w:w="459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（1）提供27寸的触屏一体机电脑（支持壁挂或支架安装）和不少于3个手机端登录账号；</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（2）运行安卓7.1以上系统；</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※（3）临床咨询AI数据库查询功能：</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数据库包括针对至少1400种西药和常见200种中药中每种药物的通用名/商品名、药物致畸循证信息总结和说明书主要信息。</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每种药物致畸循证信息总结需包括至少十年的文献整理，需包含：简评信息、实验动物致畸信息总结、人类妊娠致畸报告信息总结、哺乳期研究信息总结或生殖影响研究信息等（如果有）、主要参考文献出处。</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每种药物说明书主要包括：半衰期、适应症、不良反应、禁忌症、注意事项、妊娠及哺乳期妇女用药、儿童用药、药物相互作用、药代动力学等。仅限于西药。</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每种西药的通用名、商品名和美国FDA药物妊娠期安全性分类（如果有）。</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数据库至少包含1000种以上的物理、化学、生物及其他环境因素等最新循证致畸信息总结。并包含主要参考文献出处。</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数据库需包含基因、遗传病、先天畸形三部分的知识信息。主要包含：至少1000种基因的内容，内容有名称、基因位置、基因大小及突变、正常功能、以及与疾病的关系等。至少500种遗传病和先天畸形的内容，内容包括涉及临床表现、诊断、临床处理等知识。</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数据库至少包括500个以上的与出生缺陷相关的讲座课件、300个以上的最新出生缺陷、妇产科技术规范等其他内容。</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数据库至少包括20个以上的临床数据计算公式/数据，可以快速计算各类临床数据，公式来源需为国际公开且公认的来源，有权威文献支撑。</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※（4）具备读片灯、电子白板、app内投屏、培训学习、临床计算器、常用工具等功能；</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（5）由采购单位提供实施远程指导需要的网络环境，包括外网线等。</w:t>
            </w:r>
          </w:p>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default" w:ascii="仿宋" w:hAnsi="仿宋" w:eastAsia="仿宋"/>
                <w:sz w:val="24"/>
                <w:lang w:val="en-US" w:eastAsia="zh-CN"/>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台</w:t>
            </w:r>
          </w:p>
        </w:tc>
        <w:tc>
          <w:tcPr>
            <w:tcW w:w="8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11.相关产品类似业绩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10</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13</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2.各参会供应商如对此项目有质疑、投诉，请于采购时间截止前即2022年10</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13</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bookmarkStart w:id="3" w:name="_GoBack"/>
      <w:bookmarkEnd w:id="3"/>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66308D4"/>
    <w:rsid w:val="08AB1D14"/>
    <w:rsid w:val="0A077BEA"/>
    <w:rsid w:val="0AED3E32"/>
    <w:rsid w:val="0C9055B6"/>
    <w:rsid w:val="0CEE6A14"/>
    <w:rsid w:val="0D820ED4"/>
    <w:rsid w:val="0E0C3410"/>
    <w:rsid w:val="0EBA4E8E"/>
    <w:rsid w:val="0FE413DC"/>
    <w:rsid w:val="1162444E"/>
    <w:rsid w:val="117F2E61"/>
    <w:rsid w:val="13A77585"/>
    <w:rsid w:val="17053C88"/>
    <w:rsid w:val="170562A4"/>
    <w:rsid w:val="17D441AF"/>
    <w:rsid w:val="18790CAF"/>
    <w:rsid w:val="1CD0404A"/>
    <w:rsid w:val="1D322B81"/>
    <w:rsid w:val="1E1B6F14"/>
    <w:rsid w:val="1E315678"/>
    <w:rsid w:val="1E923C0E"/>
    <w:rsid w:val="1F13725E"/>
    <w:rsid w:val="20567118"/>
    <w:rsid w:val="212625BD"/>
    <w:rsid w:val="21B11EED"/>
    <w:rsid w:val="24E574D0"/>
    <w:rsid w:val="26556455"/>
    <w:rsid w:val="281F755F"/>
    <w:rsid w:val="28402FD3"/>
    <w:rsid w:val="2D656537"/>
    <w:rsid w:val="2E291F3F"/>
    <w:rsid w:val="30BD1723"/>
    <w:rsid w:val="315D39FD"/>
    <w:rsid w:val="345E6E00"/>
    <w:rsid w:val="36B21F81"/>
    <w:rsid w:val="39A83D55"/>
    <w:rsid w:val="39DE699F"/>
    <w:rsid w:val="3B8F401D"/>
    <w:rsid w:val="3C4E276F"/>
    <w:rsid w:val="3CB56187"/>
    <w:rsid w:val="3DAE77A5"/>
    <w:rsid w:val="439747DB"/>
    <w:rsid w:val="45CE55D0"/>
    <w:rsid w:val="461865EA"/>
    <w:rsid w:val="463B24C2"/>
    <w:rsid w:val="47B34975"/>
    <w:rsid w:val="47DA2A11"/>
    <w:rsid w:val="489E7E3B"/>
    <w:rsid w:val="4AC43BB5"/>
    <w:rsid w:val="4B0624AB"/>
    <w:rsid w:val="4BA04C0E"/>
    <w:rsid w:val="4F4B389A"/>
    <w:rsid w:val="50C333DD"/>
    <w:rsid w:val="513D360C"/>
    <w:rsid w:val="51A23C60"/>
    <w:rsid w:val="52527665"/>
    <w:rsid w:val="541F283F"/>
    <w:rsid w:val="54A83452"/>
    <w:rsid w:val="552E4660"/>
    <w:rsid w:val="567021B6"/>
    <w:rsid w:val="57AF75B9"/>
    <w:rsid w:val="581F64F9"/>
    <w:rsid w:val="5CCC3A4B"/>
    <w:rsid w:val="5D9A4294"/>
    <w:rsid w:val="5E1967D1"/>
    <w:rsid w:val="5E73272A"/>
    <w:rsid w:val="5E886BC3"/>
    <w:rsid w:val="5F6B7A0E"/>
    <w:rsid w:val="611D0AAE"/>
    <w:rsid w:val="616A08BA"/>
    <w:rsid w:val="61F94671"/>
    <w:rsid w:val="620601C7"/>
    <w:rsid w:val="621F4120"/>
    <w:rsid w:val="648A1EC2"/>
    <w:rsid w:val="649E29D3"/>
    <w:rsid w:val="657D120C"/>
    <w:rsid w:val="67163A13"/>
    <w:rsid w:val="6ADD2C72"/>
    <w:rsid w:val="6B803D0B"/>
    <w:rsid w:val="6D6B38DA"/>
    <w:rsid w:val="6EFB2198"/>
    <w:rsid w:val="70192C83"/>
    <w:rsid w:val="702D6E9D"/>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2022-10-10T09:23:56Z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