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方正仿宋_GBK" w:hAnsi="方正仿宋_GBK" w:eastAsia="方正仿宋_GBK" w:cs="方正仿宋_GBK"/>
          <w:b w:val="0"/>
          <w:bCs w:val="0"/>
          <w:i w:val="0"/>
          <w:caps w:val="0"/>
          <w:color w:val="auto"/>
          <w:spacing w:val="0"/>
          <w:sz w:val="32"/>
          <w:szCs w:val="32"/>
          <w:lang w:val="en-US"/>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医院拟采购护士节慰问品护士鞋。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519" w:type="dxa"/>
        <w:jc w:val="center"/>
        <w:tblInd w:w="-758" w:type="dxa"/>
        <w:tblLayout w:type="fixed"/>
        <w:tblCellMar>
          <w:top w:w="0" w:type="dxa"/>
          <w:left w:w="108" w:type="dxa"/>
          <w:bottom w:w="0" w:type="dxa"/>
          <w:right w:w="108" w:type="dxa"/>
        </w:tblCellMar>
      </w:tblPr>
      <w:tblGrid>
        <w:gridCol w:w="1450"/>
        <w:gridCol w:w="1450"/>
        <w:gridCol w:w="689"/>
        <w:gridCol w:w="2470"/>
        <w:gridCol w:w="2460"/>
      </w:tblGrid>
      <w:tr>
        <w:tblPrEx>
          <w:tblLayout w:type="fixed"/>
          <w:tblCellMar>
            <w:top w:w="0" w:type="dxa"/>
            <w:left w:w="108" w:type="dxa"/>
            <w:bottom w:w="0" w:type="dxa"/>
            <w:right w:w="108" w:type="dxa"/>
          </w:tblCellMar>
        </w:tblPrEx>
        <w:trPr>
          <w:trHeight w:val="285"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包号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项目名称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数量</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要求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限价</w:t>
            </w:r>
          </w:p>
        </w:tc>
      </w:tr>
      <w:tr>
        <w:tblPrEx>
          <w:tblLayout w:type="fixed"/>
          <w:tblCellMar>
            <w:top w:w="0" w:type="dxa"/>
            <w:left w:w="108" w:type="dxa"/>
            <w:bottom w:w="0" w:type="dxa"/>
            <w:right w:w="108" w:type="dxa"/>
          </w:tblCellMar>
        </w:tblPrEx>
        <w:trPr>
          <w:trHeight w:val="1740"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333333"/>
                <w:szCs w:val="21"/>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护士鞋</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333333"/>
                <w:szCs w:val="21"/>
                <w:lang w:val="en-US" w:eastAsia="zh-CN"/>
              </w:rPr>
            </w:pPr>
            <w:r>
              <w:rPr>
                <w:rFonts w:hint="default" w:ascii="Times New Roman" w:hAnsi="Times New Roman" w:eastAsia="宋体" w:cs="Times New Roman"/>
                <w:color w:val="333333"/>
                <w:szCs w:val="21"/>
                <w:lang w:val="en-US" w:eastAsia="zh-CN"/>
              </w:rPr>
              <w:t>227双</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1、颜色：</w:t>
            </w:r>
            <w:r>
              <w:rPr>
                <w:rFonts w:hint="eastAsia" w:cs="Times New Roman"/>
                <w:lang w:val="en-US" w:eastAsia="zh-CN"/>
              </w:rPr>
              <w:t>白色</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面料：牛皮</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鞋垫：乳胶鞋垫</w:t>
            </w:r>
          </w:p>
          <w:p>
            <w:pPr>
              <w:jc w:val="left"/>
              <w:rPr>
                <w:rFonts w:hint="eastAsia"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鞋底：PVC</w:t>
            </w:r>
          </w:p>
          <w:p>
            <w:pPr>
              <w:pStyle w:val="2"/>
              <w:rPr>
                <w:rFonts w:hint="default"/>
                <w:lang w:val="en-US" w:eastAsia="zh-CN"/>
              </w:rPr>
            </w:pPr>
            <w:r>
              <w:rPr>
                <w:rFonts w:hint="eastAsia" w:cs="Times New Roman"/>
                <w:lang w:val="en-US" w:eastAsia="zh-CN"/>
              </w:rPr>
              <w:t>5、跟高：3.5cm</w:t>
            </w:r>
          </w:p>
          <w:p>
            <w:pPr>
              <w:pStyle w:val="2"/>
              <w:jc w:val="left"/>
              <w:rPr>
                <w:rFonts w:hint="default" w:ascii="Times New Roman" w:hAnsi="Times New Roman" w:cs="Times New Roman"/>
                <w:lang w:val="en-US" w:eastAsia="zh-CN"/>
              </w:rPr>
            </w:pPr>
            <w:r>
              <w:rPr>
                <w:rFonts w:hint="eastAsia" w:cs="Times New Roman"/>
                <w:lang w:val="en-US" w:eastAsia="zh-CN"/>
              </w:rPr>
              <w:t>6</w:t>
            </w:r>
            <w:r>
              <w:rPr>
                <w:rFonts w:hint="default" w:ascii="Times New Roman" w:hAnsi="Times New Roman" w:cs="Times New Roman"/>
                <w:lang w:val="en-US" w:eastAsia="zh-CN"/>
              </w:rPr>
              <w:t>、需要附实物彩色图片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护士鞋每双单价</w:t>
            </w:r>
            <w:r>
              <w:rPr>
                <w:rFonts w:hint="default" w:ascii="Times New Roman" w:hAnsi="Times New Roman" w:cs="Times New Roman"/>
                <w:lang w:val="en-US" w:eastAsia="zh-CN"/>
              </w:rPr>
              <w:t>不超过</w:t>
            </w:r>
            <w:r>
              <w:rPr>
                <w:rFonts w:hint="eastAsia" w:ascii="Times New Roman" w:hAnsi="Times New Roman" w:cs="Times New Roman"/>
                <w:lang w:val="en-US" w:eastAsia="zh-CN"/>
              </w:rPr>
              <w:t>150</w:t>
            </w:r>
            <w:r>
              <w:rPr>
                <w:rFonts w:hint="default" w:ascii="Times New Roman" w:hAnsi="Times New Roman" w:cs="Times New Roman"/>
                <w:lang w:val="en-US" w:eastAsia="zh-CN"/>
              </w:rPr>
              <w:t>元</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2.各参会供应商如对此项目有质疑、投诉，请于采购时间截止前即2022年5月11日15：00点前以书面形式向纪检监察室提出，超期不予受理。纪检监察室联系人：邹老师69517102。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bookmarkStart w:id="3" w:name="_GoBack"/>
      <w:bookmarkEnd w:id="3"/>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AED3E32"/>
    <w:rsid w:val="0C9055B6"/>
    <w:rsid w:val="0CEE6A14"/>
    <w:rsid w:val="0EBA4E8E"/>
    <w:rsid w:val="0FE413DC"/>
    <w:rsid w:val="1162444E"/>
    <w:rsid w:val="117F2E61"/>
    <w:rsid w:val="13A77585"/>
    <w:rsid w:val="17053C88"/>
    <w:rsid w:val="170562A4"/>
    <w:rsid w:val="17D441AF"/>
    <w:rsid w:val="19F75528"/>
    <w:rsid w:val="1CD0404A"/>
    <w:rsid w:val="1D322B81"/>
    <w:rsid w:val="1E1B6F14"/>
    <w:rsid w:val="1E315678"/>
    <w:rsid w:val="1F13725E"/>
    <w:rsid w:val="20567118"/>
    <w:rsid w:val="24E574D0"/>
    <w:rsid w:val="26556455"/>
    <w:rsid w:val="281F755F"/>
    <w:rsid w:val="28402FD3"/>
    <w:rsid w:val="345E6E00"/>
    <w:rsid w:val="39A83D55"/>
    <w:rsid w:val="39DE699F"/>
    <w:rsid w:val="3B8F401D"/>
    <w:rsid w:val="3C4E276F"/>
    <w:rsid w:val="3CB56187"/>
    <w:rsid w:val="3DAE77A5"/>
    <w:rsid w:val="439747DB"/>
    <w:rsid w:val="45CE55D0"/>
    <w:rsid w:val="463B24C2"/>
    <w:rsid w:val="47B34975"/>
    <w:rsid w:val="47DA2A11"/>
    <w:rsid w:val="489E7E3B"/>
    <w:rsid w:val="4AC43BB5"/>
    <w:rsid w:val="4BA04C0E"/>
    <w:rsid w:val="4F4B389A"/>
    <w:rsid w:val="51A23C60"/>
    <w:rsid w:val="52527665"/>
    <w:rsid w:val="541F283F"/>
    <w:rsid w:val="54A83452"/>
    <w:rsid w:val="552E4660"/>
    <w:rsid w:val="567021B6"/>
    <w:rsid w:val="57AF75B9"/>
    <w:rsid w:val="5CCC3A4B"/>
    <w:rsid w:val="5D9A4294"/>
    <w:rsid w:val="5E1967D1"/>
    <w:rsid w:val="5E73272A"/>
    <w:rsid w:val="5E886BC3"/>
    <w:rsid w:val="5F6B7A0E"/>
    <w:rsid w:val="611D0AAE"/>
    <w:rsid w:val="616A08BA"/>
    <w:rsid w:val="61F94671"/>
    <w:rsid w:val="621F4120"/>
    <w:rsid w:val="649E29D3"/>
    <w:rsid w:val="657D120C"/>
    <w:rsid w:val="6ADD2C72"/>
    <w:rsid w:val="6B803D0B"/>
    <w:rsid w:val="702D6E9D"/>
    <w:rsid w:val="734459B9"/>
    <w:rsid w:val="746B54C1"/>
    <w:rsid w:val="747A3206"/>
    <w:rsid w:val="748848EE"/>
    <w:rsid w:val="762C15D7"/>
    <w:rsid w:val="793F2FE3"/>
    <w:rsid w:val="7A35588F"/>
    <w:rsid w:val="7AE22783"/>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2022-05-09T01:49:50Z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