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信息安全三级等级保护测评项目</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期限：</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21</w:t>
      </w:r>
      <w:r>
        <w:rPr>
          <w:rFonts w:hint="default" w:ascii="Times New Roman" w:hAnsi="Times New Roman" w:eastAsia="方正仿宋_GBK" w:cs="Times New Roman"/>
          <w:b w:val="0"/>
          <w:bCs w:val="0"/>
          <w:i w:val="0"/>
          <w:caps w:val="0"/>
          <w:color w:val="auto"/>
          <w:spacing w:val="0"/>
          <w:sz w:val="32"/>
          <w:szCs w:val="32"/>
          <w:shd w:val="clear" w:fill="FFFFFF"/>
        </w:rPr>
        <w:t>日-202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25</w:t>
      </w:r>
      <w:r>
        <w:rPr>
          <w:rFonts w:hint="default" w:ascii="Times New Roman" w:hAnsi="Times New Roman" w:eastAsia="方正仿宋_GBK" w:cs="Times New Roman"/>
          <w:b w:val="0"/>
          <w:bCs w:val="0"/>
          <w:i w:val="0"/>
          <w:caps w:val="0"/>
          <w:color w:val="auto"/>
          <w:spacing w:val="0"/>
          <w:sz w:val="32"/>
          <w:szCs w:val="32"/>
          <w:shd w:val="clear" w:fill="FFFFFF"/>
        </w:rPr>
        <w:t>日。期间请各潜在供应商到我院</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院务</w:t>
      </w:r>
      <w:r>
        <w:rPr>
          <w:rFonts w:hint="default" w:ascii="Times New Roman" w:hAnsi="Times New Roman" w:eastAsia="方正仿宋_GBK" w:cs="Times New Roman"/>
          <w:b w:val="0"/>
          <w:bCs w:val="0"/>
          <w:i w:val="0"/>
          <w:caps w:val="0"/>
          <w:color w:val="auto"/>
          <w:spacing w:val="0"/>
          <w:sz w:val="32"/>
          <w:szCs w:val="32"/>
          <w:shd w:val="clear" w:fill="FFFFFF"/>
        </w:rPr>
        <w:t>部提交资料。</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项目要求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bookmarkStart w:id="0" w:name="_Toc27788"/>
      <w:bookmarkStart w:id="1" w:name="_Toc25901"/>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textAlignment w:val="auto"/>
        <w:rPr>
          <w:rFonts w:hint="eastAsia" w:ascii="仿宋" w:hAnsi="仿宋" w:eastAsia="仿宋" w:cs="仿宋"/>
          <w:b w:val="0"/>
          <w:bCs/>
          <w:color w:val="000000"/>
          <w:sz w:val="32"/>
          <w:szCs w:val="32"/>
          <w:highlight w:val="none"/>
          <w:lang w:eastAsia="zh-CN"/>
        </w:rPr>
      </w:pP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lang w:val="en-US" w:eastAsia="zh-CN"/>
        </w:rPr>
        <w:t>一</w:t>
      </w:r>
      <w:r>
        <w:rPr>
          <w:rFonts w:hint="eastAsia" w:ascii="仿宋" w:hAnsi="仿宋" w:eastAsia="仿宋" w:cs="仿宋"/>
          <w:b w:val="0"/>
          <w:bCs/>
          <w:color w:val="000000"/>
          <w:sz w:val="32"/>
          <w:szCs w:val="32"/>
          <w:highlight w:val="none"/>
          <w:lang w:eastAsia="zh-CN"/>
        </w:rPr>
        <w:t>）项目建设背景</w:t>
      </w:r>
      <w:bookmarkEnd w:id="0"/>
      <w:bookmarkEnd w:id="1"/>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为了落实公安部和</w:t>
      </w:r>
      <w:r>
        <w:rPr>
          <w:rFonts w:hint="eastAsia" w:ascii="仿宋" w:hAnsi="仿宋" w:eastAsia="仿宋" w:cs="仿宋"/>
          <w:color w:val="000000"/>
          <w:sz w:val="24"/>
          <w:szCs w:val="24"/>
          <w:highlight w:val="none"/>
          <w:lang w:val="en-US" w:eastAsia="zh-CN"/>
        </w:rPr>
        <w:t>卫健</w:t>
      </w:r>
      <w:r>
        <w:rPr>
          <w:rFonts w:hint="eastAsia" w:ascii="仿宋" w:hAnsi="仿宋" w:eastAsia="仿宋" w:cs="仿宋"/>
          <w:color w:val="000000"/>
          <w:sz w:val="24"/>
          <w:szCs w:val="24"/>
          <w:highlight w:val="none"/>
        </w:rPr>
        <w:t>局应用系统安全等级保护要求，进一步增强系统安全防护能力，确保系统安全稳定运行，防止因系统安全事件引发安全事故依据《信息安全技术</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网络安全等级保护基本要求》（GB/T 22239-20</w:t>
      </w: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rPr>
        <w:t>）、《信息安全等级保护管理办法》（公通字[2007]43号）和《中华人民共和国网络安全法》等标准规范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 xml:space="preserve"> 成都市金牛区妇幼保健院</w:t>
      </w:r>
      <w:r>
        <w:rPr>
          <w:rFonts w:hint="eastAsia" w:ascii="仿宋" w:hAnsi="仿宋" w:eastAsia="仿宋" w:cs="仿宋"/>
          <w:color w:val="000000"/>
          <w:sz w:val="24"/>
          <w:szCs w:val="24"/>
          <w:highlight w:val="none"/>
          <w:lang w:eastAsia="zh-CN"/>
        </w:rPr>
        <w:t>现拟招一家供应商提供等保测评服务</w:t>
      </w:r>
      <w:bookmarkStart w:id="2" w:name="_Toc426399937"/>
      <w:bookmarkStart w:id="3" w:name="_Toc28282"/>
      <w:bookmarkStart w:id="4" w:name="_Toc12714"/>
      <w:bookmarkStart w:id="5" w:name="_Toc491614700"/>
      <w:r>
        <w:rPr>
          <w:rFonts w:hint="eastAsia" w:ascii="仿宋" w:hAnsi="仿宋" w:eastAsia="仿宋" w:cs="仿宋"/>
          <w:color w:val="000000"/>
          <w:sz w:val="24"/>
          <w:szCs w:val="24"/>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二</w:t>
      </w:r>
      <w:r>
        <w:rPr>
          <w:rFonts w:hint="eastAsia" w:ascii="仿宋" w:hAnsi="仿宋" w:eastAsia="仿宋" w:cs="仿宋"/>
          <w:color w:val="000000"/>
          <w:sz w:val="32"/>
          <w:szCs w:val="32"/>
          <w:highlight w:val="none"/>
          <w:lang w:eastAsia="zh-CN"/>
        </w:rPr>
        <w:t>）项目建设目标</w:t>
      </w:r>
      <w:bookmarkEnd w:id="2"/>
      <w:bookmarkEnd w:id="3"/>
      <w:bookmarkEnd w:id="4"/>
      <w:bookmarkEnd w:id="5"/>
    </w:p>
    <w:p>
      <w:pPr>
        <w:pStyle w:val="17"/>
        <w:keepNext w:val="0"/>
        <w:keepLines w:val="0"/>
        <w:pageBreakBefore w:val="0"/>
        <w:widowControl w:val="0"/>
        <w:kinsoku/>
        <w:wordWrap/>
        <w:overflowPunct/>
        <w:topLinePunct w:val="0"/>
        <w:autoSpaceDE/>
        <w:autoSpaceDN/>
        <w:bidi w:val="0"/>
        <w:adjustRightInd/>
        <w:snapToGrid/>
        <w:ind w:firstLine="48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依据国家和行业信息安全的相关标准，全面了解和掌握企业为系统现有安全状况，找出其与《</w:t>
      </w:r>
      <w:r>
        <w:rPr>
          <w:rFonts w:hint="eastAsia" w:ascii="仿宋" w:hAnsi="仿宋" w:eastAsia="仿宋" w:cs="仿宋"/>
          <w:color w:val="000000"/>
          <w:sz w:val="24"/>
          <w:szCs w:val="24"/>
          <w:highlight w:val="none"/>
        </w:rPr>
        <w:t>信息安全技术</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网络安全等级保护基本要求</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（GB/T 22239-20</w:t>
      </w: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rPr>
        <w:t>）</w:t>
      </w:r>
      <w:r>
        <w:rPr>
          <w:rFonts w:hint="eastAsia" w:ascii="仿宋" w:hAnsi="仿宋" w:eastAsia="仿宋" w:cs="仿宋"/>
          <w:color w:val="000000"/>
          <w:kern w:val="0"/>
          <w:sz w:val="24"/>
          <w:szCs w:val="24"/>
          <w:highlight w:val="none"/>
        </w:rPr>
        <w:t>对应级别的差距，及时发现系统存在的安全问题，针对等级保护测评中发现的各种安全风险，测评项目组提出适宜的安全整改建议，最终提交该系统等级保护测评报告。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outlineLvl w:val="1"/>
        <w:rPr>
          <w:rFonts w:hint="eastAsia" w:ascii="仿宋" w:hAnsi="仿宋" w:eastAsia="仿宋" w:cs="仿宋"/>
          <w:color w:val="000000"/>
          <w:sz w:val="32"/>
          <w:szCs w:val="32"/>
          <w:highlight w:val="none"/>
          <w:lang w:eastAsia="zh-CN"/>
        </w:rPr>
      </w:pPr>
      <w:bookmarkStart w:id="6" w:name="_Toc23814"/>
      <w:bookmarkStart w:id="7" w:name="_Toc20661"/>
      <w:r>
        <w:rPr>
          <w:rFonts w:hint="eastAsia" w:ascii="仿宋" w:hAnsi="仿宋" w:eastAsia="仿宋" w:cs="仿宋"/>
          <w:color w:val="000000"/>
          <w:sz w:val="32"/>
          <w:szCs w:val="32"/>
          <w:highlight w:val="none"/>
          <w:lang w:val="en-US" w:eastAsia="zh-CN"/>
        </w:rPr>
        <w:t>（三）项目建设方案</w:t>
      </w:r>
      <w:bookmarkEnd w:id="6"/>
      <w:bookmarkEnd w:id="7"/>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依据《GBT 28448-2019信息安全技术 网络安全等级保护测评要求》，按照《信息安全技术 网络安全等级保护测评过程指南》GB-T 28449-2018要求，采取相应的测评方法（包括：访谈、检查、测试），按照相应的测评规程对测评对象（包括：制度文档、各类设备、安全配置、相关人员）进行相应力度（包括：广度、深度）的单元测评、整体测评，对测评发现的风险项进行分析评估，提出合理化整改建议，最终得到相应的信息系统等级测评报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100"/>
        <w:jc w:val="both"/>
        <w:textAlignment w:val="auto"/>
        <w:outlineLvl w:val="1"/>
        <w:rPr>
          <w:rFonts w:hint="eastAsia" w:ascii="仿宋" w:hAnsi="仿宋" w:eastAsia="仿宋" w:cs="仿宋"/>
          <w:color w:val="000000"/>
          <w:sz w:val="32"/>
          <w:szCs w:val="32"/>
          <w:highlight w:val="none"/>
          <w:lang w:eastAsia="zh-CN"/>
        </w:rPr>
      </w:pPr>
      <w:bookmarkStart w:id="8" w:name="_Toc30826"/>
      <w:bookmarkStart w:id="9" w:name="_Toc13919"/>
      <w:r>
        <w:rPr>
          <w:rFonts w:hint="eastAsia" w:ascii="仿宋" w:hAnsi="仿宋" w:eastAsia="仿宋" w:cs="仿宋"/>
          <w:color w:val="000000"/>
          <w:sz w:val="32"/>
          <w:szCs w:val="32"/>
          <w:highlight w:val="none"/>
          <w:lang w:val="en-US" w:eastAsia="zh-CN"/>
        </w:rPr>
        <w:t>（四）项目建设</w:t>
      </w:r>
      <w:r>
        <w:rPr>
          <w:rFonts w:hint="eastAsia" w:ascii="仿宋" w:hAnsi="仿宋" w:eastAsia="仿宋" w:cs="仿宋"/>
          <w:color w:val="000000"/>
          <w:sz w:val="32"/>
          <w:szCs w:val="32"/>
          <w:highlight w:val="none"/>
          <w:lang w:eastAsia="zh-CN"/>
        </w:rPr>
        <w:t>依据</w:t>
      </w:r>
      <w:bookmarkEnd w:id="8"/>
      <w:bookmarkEnd w:id="9"/>
    </w:p>
    <w:p>
      <w:pPr>
        <w:pStyle w:val="18"/>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此次依据的标准包括但不限于以下内容：</w:t>
      </w:r>
    </w:p>
    <w:p>
      <w:pPr>
        <w:pStyle w:val="1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1）《中华人民共和国网络安全法》</w:t>
      </w:r>
    </w:p>
    <w:p>
      <w:pPr>
        <w:pStyle w:val="18"/>
        <w:numPr>
          <w:ilvl w:val="0"/>
          <w:numId w:val="0"/>
        </w:numPr>
        <w:ind w:left="480" w:leftChars="0"/>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2）《信息安全技术 网络安全等级保护基本要求》GB/T 22239-2019</w:t>
      </w:r>
    </w:p>
    <w:p>
      <w:pPr>
        <w:pStyle w:val="18"/>
        <w:numPr>
          <w:ilvl w:val="0"/>
          <w:numId w:val="0"/>
        </w:numPr>
        <w:ind w:left="480" w:leftChars="0"/>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3）《信息安全技术 网络安全等级保护定级指南》GB/T 22240-2018</w:t>
      </w:r>
    </w:p>
    <w:p>
      <w:pPr>
        <w:pStyle w:val="18"/>
        <w:numPr>
          <w:ilvl w:val="0"/>
          <w:numId w:val="0"/>
        </w:numPr>
        <w:ind w:left="480" w:left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4）《信息安全等级保护管理办法》（公通字[2007]43号）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  《四川省卫生健康行业网络安全等级保护工作实施方案》（川卫函〔2019〕11号）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6） 关于印发《省委巡视组反馈网络安全问题整改工作方案》的通知（川卫办信统便函〔2022〕6号）</w:t>
      </w:r>
    </w:p>
    <w:p>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000000"/>
          <w:sz w:val="32"/>
          <w:szCs w:val="32"/>
          <w:highlight w:val="none"/>
          <w:lang w:eastAsia="zh-CN"/>
        </w:rPr>
      </w:pPr>
      <w:bookmarkStart w:id="10" w:name="_Toc491614701"/>
      <w:bookmarkStart w:id="11" w:name="_Toc426399938"/>
      <w:bookmarkStart w:id="12" w:name="_Toc7691"/>
      <w:bookmarkStart w:id="13" w:name="_Toc21243"/>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五</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工作内容及要求</w:t>
      </w:r>
      <w:bookmarkEnd w:id="10"/>
      <w:bookmarkEnd w:id="11"/>
      <w:bookmarkEnd w:id="12"/>
      <w:bookmarkEnd w:id="13"/>
    </w:p>
    <w:p>
      <w:pPr>
        <w:pageBreakBefore w:val="0"/>
        <w:widowControl w:val="0"/>
        <w:numPr>
          <w:ilvl w:val="0"/>
          <w:numId w:val="0"/>
        </w:numPr>
        <w:kinsoku/>
        <w:wordWrap/>
        <w:overflowPunct/>
        <w:topLinePunct w:val="0"/>
        <w:autoSpaceDE/>
        <w:autoSpaceDN/>
        <w:bidi w:val="0"/>
        <w:adjustRightInd/>
        <w:snapToGrid/>
        <w:spacing w:before="0" w:after="0" w:line="360" w:lineRule="auto"/>
        <w:textAlignment w:val="auto"/>
        <w:outlineLvl w:val="9"/>
        <w:rPr>
          <w:color w:val="000000"/>
          <w:highlight w:val="none"/>
        </w:rPr>
      </w:pPr>
      <w:r>
        <w:rPr>
          <w:rFonts w:hint="eastAsia" w:ascii="仿宋" w:hAnsi="仿宋" w:eastAsia="仿宋" w:cs="仿宋"/>
          <w:b w:val="0"/>
          <w:bCs w:val="0"/>
          <w:color w:val="000000"/>
          <w:kern w:val="0"/>
          <w:sz w:val="24"/>
          <w:szCs w:val="24"/>
          <w:highlight w:val="none"/>
          <w:lang w:val="en-US" w:eastAsia="zh-CN" w:bidi="ar-SA"/>
        </w:rPr>
        <w:t>5.1测评对象</w:t>
      </w:r>
    </w:p>
    <w:tbl>
      <w:tblPr>
        <w:tblStyle w:val="10"/>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9"/>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9" w:hRule="atLeast"/>
        </w:trPr>
        <w:tc>
          <w:tcPr>
            <w:tcW w:w="4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kern w:val="0"/>
                <w:sz w:val="24"/>
                <w:szCs w:val="24"/>
                <w:highlight w:val="none"/>
              </w:rPr>
              <w:t>系统名称</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kern w:val="0"/>
                <w:sz w:val="24"/>
                <w:szCs w:val="24"/>
                <w:highlight w:val="none"/>
              </w:rPr>
              <w:t>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2" w:hRule="atLeast"/>
        </w:trPr>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HIS系统</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医院信息平台</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三级</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00000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bidi="ar-SA"/>
        </w:rPr>
        <w:t>5.2 测评要求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根据项目需求，为保障信息安全现场测评过程安全可控，明确测评人员职责分配、规范测评人员操作，保障测评结果有效，至少包括以下几个流程：</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378"/>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关键实施阶段</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确定测评范围</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获得信息系统的信息</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通过调查或查阅资料的方式，了解被测评信息系统的构成，包括网络拓扑、业务应用、业务流程、设备信息、安全措施状况等。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确定具体的测评对象</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初步确定每个信息系统的被测评对象，包括整体对象，如机房、办公环境、网络等，也包括具体对象，如边界设备、网关设备、服务器设备、工作站、应用系统等。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确定测评工作的方法</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制定测评工作计划</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制定测评工作计划或方案，说明测评范围、测评对象、工作方法、人员组成、角色职责、时间计划等。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实施等级保护测评</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实施测评，包括人工检查、工具扫描等方式。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2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项目总结</w:t>
            </w:r>
          </w:p>
        </w:tc>
        <w:tc>
          <w:tcPr>
            <w:tcW w:w="5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对测评结果进行总结、汇报</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5.3 测评内容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color w:val="000000"/>
          <w:sz w:val="24"/>
          <w:highlight w:val="none"/>
          <w:lang w:val="en-US" w:eastAsia="zh-CN"/>
        </w:rPr>
      </w:pPr>
      <w:r>
        <w:rPr>
          <w:rFonts w:hint="default" w:ascii="仿宋" w:hAnsi="仿宋" w:eastAsia="仿宋" w:cs="仿宋"/>
          <w:b w:val="0"/>
          <w:bCs/>
          <w:color w:val="000000"/>
          <w:sz w:val="24"/>
          <w:highlight w:val="none"/>
          <w:lang w:val="en-US" w:eastAsia="zh-CN"/>
        </w:rPr>
        <w:t>按照信息系统等级保护测评依据开展测评工作（包括不限于以下项目）</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color w:val="000000"/>
          <w:sz w:val="24"/>
          <w:highlight w:val="none"/>
          <w:lang w:val="en-US" w:eastAsia="zh-CN"/>
        </w:rPr>
      </w:pPr>
      <w:r>
        <w:rPr>
          <w:rFonts w:hint="default" w:ascii="仿宋" w:hAnsi="仿宋" w:eastAsia="仿宋" w:cs="仿宋"/>
          <w:b w:val="0"/>
          <w:bCs/>
          <w:color w:val="000000"/>
          <w:sz w:val="24"/>
          <w:highlight w:val="none"/>
          <w:lang w:val="en-US" w:eastAsia="zh-CN"/>
        </w:rPr>
        <w:t>5.3.1安全物理环境</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安全物理环境检查主要是了解</w:t>
      </w:r>
      <w:r>
        <w:rPr>
          <w:rFonts w:hint="eastAsia" w:ascii="仿宋" w:hAnsi="仿宋" w:eastAsia="仿宋" w:cs="仿宋"/>
          <w:b w:val="0"/>
          <w:bCs/>
          <w:color w:val="000000"/>
          <w:sz w:val="24"/>
          <w:highlight w:val="none"/>
          <w:lang w:val="zh-CN" w:eastAsia="zh-CN"/>
        </w:rPr>
        <w:t>信息系统</w:t>
      </w:r>
      <w:r>
        <w:rPr>
          <w:rFonts w:hint="eastAsia" w:ascii="仿宋" w:hAnsi="仿宋" w:eastAsia="仿宋" w:cs="仿宋"/>
          <w:b w:val="0"/>
          <w:bCs/>
          <w:color w:val="000000"/>
          <w:sz w:val="24"/>
          <w:highlight w:val="none"/>
          <w:lang w:val="en-US" w:eastAsia="zh-CN"/>
        </w:rPr>
        <w:t>的物理安全保障情况，涉及对象为机房。在内容上，安全物理环境层面测评实施过程涉及的工作单元，具体如下表：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b w:val="0"/>
          <w:bCs/>
          <w:color w:val="000000"/>
          <w:kern w:val="2"/>
          <w:sz w:val="24"/>
          <w:szCs w:val="22"/>
          <w:highlight w:val="none"/>
          <w:lang w:val="en-US" w:eastAsia="zh-CN" w:bidi="ar-SA"/>
        </w:rPr>
      </w:pPr>
      <w:r>
        <w:rPr>
          <w:rFonts w:hint="eastAsia" w:ascii="仿宋" w:hAnsi="仿宋" w:eastAsia="仿宋" w:cs="仿宋"/>
          <w:b w:val="0"/>
          <w:bCs/>
          <w:color w:val="000000"/>
          <w:kern w:val="2"/>
          <w:sz w:val="24"/>
          <w:szCs w:val="22"/>
          <w:highlight w:val="none"/>
          <w:lang w:val="en-US" w:eastAsia="zh-CN" w:bidi="ar-SA"/>
        </w:rPr>
        <w:t>表1 安全物理环境测评内容</w:t>
      </w:r>
    </w:p>
    <w:tbl>
      <w:tblPr>
        <w:tblStyle w:val="10"/>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78" w:type="dxa"/>
            <w:shd w:val="clear" w:color="000000" w:fill="FFFFFF"/>
            <w:vAlign w:val="center"/>
          </w:tcPr>
          <w:p>
            <w:pPr>
              <w:rPr>
                <w:rFonts w:hint="eastAsia" w:ascii="仿宋" w:hAnsi="仿宋" w:eastAsia="仿宋" w:cs="仿宋"/>
                <w:b/>
                <w:bCs/>
                <w:sz w:val="24"/>
                <w:szCs w:val="28"/>
              </w:rPr>
            </w:pPr>
            <w:r>
              <w:rPr>
                <w:rFonts w:hint="eastAsia" w:ascii="仿宋" w:hAnsi="仿宋" w:eastAsia="仿宋" w:cs="仿宋"/>
                <w:b/>
                <w:bCs/>
                <w:sz w:val="24"/>
                <w:szCs w:val="28"/>
              </w:rPr>
              <w:t>序号</w:t>
            </w:r>
          </w:p>
        </w:tc>
        <w:tc>
          <w:tcPr>
            <w:tcW w:w="1701" w:type="dxa"/>
            <w:shd w:val="clear" w:color="000000" w:fill="FFFFFF"/>
            <w:vAlign w:val="center"/>
          </w:tcPr>
          <w:p>
            <w:pPr>
              <w:jc w:val="center"/>
              <w:rPr>
                <w:rFonts w:hint="eastAsia" w:ascii="仿宋" w:hAnsi="仿宋" w:eastAsia="仿宋" w:cs="仿宋"/>
                <w:b/>
                <w:bCs/>
                <w:sz w:val="24"/>
                <w:szCs w:val="28"/>
              </w:rPr>
            </w:pPr>
            <w:r>
              <w:rPr>
                <w:rFonts w:hint="eastAsia" w:ascii="仿宋" w:hAnsi="仿宋" w:eastAsia="仿宋" w:cs="仿宋"/>
                <w:b/>
                <w:bCs/>
                <w:sz w:val="24"/>
                <w:szCs w:val="28"/>
              </w:rPr>
              <w:t>工作单元名称</w:t>
            </w:r>
          </w:p>
        </w:tc>
        <w:tc>
          <w:tcPr>
            <w:tcW w:w="5938" w:type="dxa"/>
            <w:shd w:val="clear" w:color="000000" w:fill="FFFFFF"/>
            <w:vAlign w:val="center"/>
          </w:tcPr>
          <w:p>
            <w:pPr>
              <w:jc w:val="center"/>
              <w:rPr>
                <w:rFonts w:hint="eastAsia" w:ascii="仿宋" w:hAnsi="仿宋" w:eastAsia="仿宋" w:cs="仿宋"/>
                <w:b/>
                <w:bCs/>
                <w:sz w:val="24"/>
                <w:szCs w:val="28"/>
              </w:rPr>
            </w:pPr>
            <w:r>
              <w:rPr>
                <w:rFonts w:hint="eastAsia" w:ascii="仿宋" w:hAnsi="仿宋" w:eastAsia="仿宋" w:cs="仿宋"/>
                <w:b/>
                <w:bCs/>
                <w:sz w:val="24"/>
                <w:szCs w:val="28"/>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物理位置的选择</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检查机房，测评机房物理场所在位置上是否具有防震、防风和防雨等多方面的安全防范能力。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物理访问控制</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检查机房出入口等过程，测评信息系统在物理访问控制方面的安全防范能力。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防盗窃和防破坏</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检查机房内的主要设备、介质和防盗报警设施等过程，测评信息系统是否采取必要的措施预防设备、介质等丢失和被破坏。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防雷击</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检查机房设计/验收文档，测评信息系统是否采取相应的措施预防雷击。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防火</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检查机房防火方面的安全管理制度，检查机房防火设备等过程，测评信息系统是否采取必要的措施防止火灾的发生。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防水和防潮</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检查机房及其除潮设备等过程，测评信息系统是否采取必要措施来防止水灾和机房潮湿。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防静电</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检查机房等过程，测评信息系统是否采取必要措施防止静电的产生。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温湿度控制</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检查机房的温湿度自动调节系统，测评信息系统是否采取必要措施对机房内的温湿度进行控制。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电力供应</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检查机房供电线路、设备等过程，测评是否具备为信息系统提供一定电力供应的能力。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TW"/>
              </w:rPr>
              <w:t>电磁防护</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lang w:eastAsia="zh-TW"/>
              </w:rPr>
            </w:pPr>
            <w:r>
              <w:rPr>
                <w:rFonts w:hint="eastAsia" w:ascii="仿宋" w:hAnsi="仿宋" w:eastAsia="仿宋" w:cs="仿宋"/>
                <w:color w:val="000000"/>
                <w:sz w:val="24"/>
                <w:szCs w:val="24"/>
                <w:highlight w:val="none"/>
                <w:lang w:eastAsia="zh-TW"/>
              </w:rPr>
              <w:t>检查主要设备等过程，测评信息系统是否具备一定的电磁防护能力。</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5.3.2</w:t>
      </w:r>
      <w:r>
        <w:rPr>
          <w:rFonts w:hint="eastAsia" w:ascii="仿宋" w:hAnsi="仿宋" w:eastAsia="仿宋" w:cs="仿宋"/>
          <w:sz w:val="24"/>
          <w:szCs w:val="24"/>
        </w:rPr>
        <w:t>安全通信网络</w:t>
      </w:r>
    </w:p>
    <w:p>
      <w:pPr>
        <w:pStyle w:val="18"/>
        <w:ind w:firstLine="480"/>
        <w:rPr>
          <w:rFonts w:hint="eastAsia" w:ascii="仿宋" w:hAnsi="仿宋" w:eastAsia="仿宋" w:cs="仿宋"/>
          <w:sz w:val="24"/>
          <w:szCs w:val="24"/>
          <w:lang w:val="zh-CN"/>
        </w:rPr>
      </w:pPr>
      <w:r>
        <w:rPr>
          <w:rFonts w:hint="eastAsia" w:ascii="仿宋" w:hAnsi="仿宋" w:eastAsia="仿宋" w:cs="仿宋"/>
          <w:sz w:val="24"/>
          <w:szCs w:val="24"/>
          <w:lang w:val="zh-CN"/>
        </w:rPr>
        <w:t>安全通信网络检查主要是了解系统的网络架构和通信传输等，涉及对象为</w:t>
      </w:r>
      <w:r>
        <w:rPr>
          <w:rFonts w:hint="eastAsia" w:ascii="仿宋" w:hAnsi="仿宋" w:eastAsia="仿宋" w:cs="仿宋"/>
          <w:snapToGrid w:val="0"/>
          <w:sz w:val="24"/>
          <w:szCs w:val="24"/>
          <w:lang w:eastAsia="zh-TW"/>
        </w:rPr>
        <w:t>防火墙、核心路由器、核心交换机等设备和网络架构</w:t>
      </w:r>
      <w:r>
        <w:rPr>
          <w:rFonts w:hint="eastAsia" w:ascii="仿宋" w:hAnsi="仿宋" w:eastAsia="仿宋" w:cs="仿宋"/>
          <w:sz w:val="24"/>
          <w:szCs w:val="24"/>
          <w:lang w:val="zh-CN"/>
        </w:rPr>
        <w:t>。在内容上，安全通信网络层面测评过程涉及的工作单元，具体如下表：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表2 安全通信网络测评内容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网络架构</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napToGrid w:val="0"/>
                <w:sz w:val="24"/>
                <w:szCs w:val="24"/>
                <w:lang w:eastAsia="zh-TW"/>
              </w:rPr>
              <w:t>检查核心设备的</w:t>
            </w:r>
            <w:r>
              <w:rPr>
                <w:rFonts w:hint="eastAsia" w:ascii="仿宋" w:hAnsi="仿宋" w:eastAsia="仿宋" w:cs="仿宋"/>
                <w:snapToGrid w:val="0"/>
                <w:sz w:val="24"/>
                <w:szCs w:val="24"/>
              </w:rPr>
              <w:t>CPU和内存使用率，整个网络带宽是否满足现状，VLAN划分是否合理，网络架构是否做到设备冗余、链路。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通信传输</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检查数据在传输过程中的的完整性和保密性措施。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可信计算</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检查设备是否进行可信验证。</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5.3.3</w:t>
      </w:r>
      <w:r>
        <w:rPr>
          <w:rFonts w:hint="eastAsia" w:ascii="仿宋" w:hAnsi="仿宋" w:eastAsia="仿宋" w:cs="仿宋"/>
          <w:sz w:val="24"/>
          <w:szCs w:val="24"/>
        </w:rPr>
        <w:t>安全区域边界</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安全区域边界检查主要是了解系统在网络边界的防护措施，涉及对象为防火墙、入侵检测、安全审计等安全设备。在内容上，安全区域边界层面测评实施过程涉及的工作单元，具体如下表：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表3 安全区域边界测评内容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边界防护</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napToGrid w:val="0"/>
                <w:sz w:val="24"/>
                <w:szCs w:val="24"/>
              </w:rPr>
              <w:t>检查网络边界是否有访问控制设备，访问控制策略是否合理，是否关闭了闲置端口等。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访问控制</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检查网络中的访问控制策略是否合理、有效。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入侵防范</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检查网络中是否采用了入侵防范措施，验证该措施是否有效。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恶意代码和垃圾邮件防范</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检查网络中是否有恶意代码和垃圾邮件防范措施。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安全审计</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检查网络中是否有综合安全审计措施。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可信验证</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检查设备是否进行可信验证。</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5.3.4</w:t>
      </w:r>
      <w:r>
        <w:rPr>
          <w:rFonts w:hint="eastAsia" w:ascii="仿宋" w:hAnsi="仿宋" w:eastAsia="仿宋" w:cs="仿宋"/>
          <w:sz w:val="24"/>
          <w:szCs w:val="24"/>
        </w:rPr>
        <w:t>安全计算环境</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计算环境检查主要是了解系统的运行环境是否采取了相关安全措施，涉及对象为网络设备、安全设备、操作系统、数据库、中间件等。在内容上，安全计算环境层面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表4应用系统安全测评内容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身份鉴别</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napToGrid w:val="0"/>
                <w:sz w:val="24"/>
                <w:szCs w:val="24"/>
              </w:rPr>
              <w:t>检查所有设备的登录用户是否有身份鉴别措施，是否有复杂度、唯一性等检查。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访问控制</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检查用户的权限分配情况，默认用户和默认口令使用情况等。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安全审计</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检查是否开启安全审计功能，是否能审计到每个用户，审计记录是否有保护措施。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入侵防范</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检查设备在运行过程中的入侵防范措施，如关闭不需要的端口和服务、最小化安装、部署入侵防范产品等。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恶意代码防范</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检查设备的恶意代码防范情况。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可信验证</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检查设备是否进行可信验证。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数据完整性</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检查系统数据的传输完整性和存储完整性措施。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数据保密性</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检查系统数据的传输保密性和存储保密性措施。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数据备份恢复</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检查系统的安全备份情况，如重要信息的备份、硬件和线路的冗余等。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剩余信息保护</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检查系统的剩余信息保护情况，如将用户鉴别信息以及文件、目录和数据库记录等资源所在的存储空间再分配时的处理情况。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个人信息保护</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检查系统对个人信息的采集和使用情况。</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5.3.5</w:t>
      </w:r>
      <w:r>
        <w:rPr>
          <w:rFonts w:hint="eastAsia" w:ascii="仿宋" w:hAnsi="仿宋" w:eastAsia="仿宋" w:cs="仿宋"/>
          <w:sz w:val="24"/>
          <w:szCs w:val="24"/>
        </w:rPr>
        <w:t>安全管理中心</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安全管理中心检查主要是了解系统在管理、审计等集中管理的情况，涉及对象为综合管理类设备、综合审计类设备等。在内容上，安全管理中心实施过程涉及的工作单元，具体如下表：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表5安全管理中心测评内容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系统管理</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napToGrid w:val="0"/>
                <w:sz w:val="24"/>
                <w:szCs w:val="24"/>
              </w:rPr>
              <w:t>检查是否对系统管理员进行统一的身份鉴别，操作审计等。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审计管理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检查是否对审计管理员</w:t>
            </w:r>
            <w:r>
              <w:rPr>
                <w:rFonts w:hint="eastAsia" w:ascii="仿宋" w:hAnsi="仿宋" w:eastAsia="仿宋" w:cs="仿宋"/>
                <w:snapToGrid w:val="0"/>
                <w:sz w:val="24"/>
                <w:szCs w:val="24"/>
              </w:rPr>
              <w:t>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安全管理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检查是否对安全管理员</w:t>
            </w:r>
            <w:r>
              <w:rPr>
                <w:rFonts w:hint="eastAsia" w:ascii="仿宋" w:hAnsi="仿宋" w:eastAsia="仿宋" w:cs="仿宋"/>
                <w:snapToGrid w:val="0"/>
                <w:sz w:val="24"/>
                <w:szCs w:val="24"/>
              </w:rPr>
              <w:t>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集中管控</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检查是否划分独立的安全管理区域，是否对网络中运行的设备进行状态监测、日志审计、安全审计等，是否对补丁、恶意代代码进行统一管理。</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5.3.6安全管理制度</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表6安全管理制度测评内容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安全策略</w:t>
            </w:r>
          </w:p>
        </w:tc>
        <w:tc>
          <w:tcPr>
            <w:tcW w:w="5938" w:type="dxa"/>
            <w:vAlign w:val="center"/>
          </w:tcPr>
          <w:p>
            <w:pPr>
              <w:rPr>
                <w:rFonts w:hint="eastAsia" w:ascii="仿宋" w:hAnsi="仿宋" w:eastAsia="仿宋" w:cs="仿宋"/>
                <w:sz w:val="24"/>
                <w:szCs w:val="24"/>
              </w:rPr>
            </w:pPr>
            <w:r>
              <w:rPr>
                <w:rFonts w:hint="eastAsia" w:ascii="仿宋" w:hAnsi="仿宋" w:eastAsia="仿宋" w:cs="仿宋"/>
                <w:sz w:val="24"/>
                <w:szCs w:val="24"/>
              </w:rPr>
              <w:t>核查网络安全工作的总体方针和安全策略文件是否明确机构安全工作的总体目 标、范围、原则和各类安全策略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管理制度</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检查有关管理制度文档和重要操作规程等过程，测评信息系统管理制度在内容覆盖上是否全面、完善。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制定和发布</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检查有关制度制定要求文档等过程，测评信息系统管理制度的制定和发布过程是否遵循一定的流程。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评审和修订</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检查管理制度评审记录等过程，测评信息系统管理制度定期评审和修订情况。</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5.3.7安全管理机构</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表7安全管理机构测评内容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岗位设置</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z w:val="24"/>
                <w:szCs w:val="24"/>
              </w:rPr>
              <w:t>检查部门/岗位职责文件，测评信息系统安全主管部门设置情况以及各岗位设置和岗位职责情况。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人员配备</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检查人员名单等文档，测评信息系统各个岗位人员配备情况。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授权和审批</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检查相关文档，测评信息系统对关键活动的授权和审批情况。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沟通和合作</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检查相关文档，测评信息系统内部部门间、与外部单位间的沟通与合作情况。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审核和检查</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检查记录文档等过程，测评信息系统安全工作的审核和检查情况。</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5.3.8人员安全管理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安全管理人员测评是为了了解单位人员安全方面的情况，主要涉及安全主管人员、人事管理人员、相关管理制度、相关工作记录等对象。在内容上，安全管理人员测评实施过程涉及的工作单元，具体如下表：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表8安全管理人员测评内容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人员录用</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z w:val="24"/>
                <w:szCs w:val="24"/>
              </w:rPr>
              <w:t>检查人员录用文档等过程，测评信息系统录用人员时是否对人员提出要求以及是否对其进行各种审查和考核。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人员离岗</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检查人员离岗安全处理记录等过程，测评信息系统人员离岗时是否按照一定的手续办理。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lang w:eastAsia="zh-TW"/>
              </w:rPr>
              <w:t>安全意识教育和培训</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检查培训计划和执行记录等文档，测评是否对人员进行安全方面的教育和培训。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外部人员访问管理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检查有关文档等过程，测评对第三方人员访问（物理、逻辑）系统是否采取必要控制措施。</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5.3.9</w:t>
      </w:r>
      <w:r>
        <w:rPr>
          <w:rFonts w:hint="eastAsia" w:ascii="仿宋" w:hAnsi="仿宋" w:eastAsia="仿宋" w:cs="仿宋"/>
          <w:sz w:val="24"/>
          <w:szCs w:val="24"/>
        </w:rPr>
        <w:t>安全建设管理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表9安全建设管理测评内容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定级和备案</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z w:val="24"/>
                <w:szCs w:val="24"/>
              </w:rPr>
              <w:t>检查系统定级相关文档等过程，测评是否按照一定要求确定系统的安全等级。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安全方案设计</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检查系统安全建设方案等文档，测评系统整体的安全规划设计是否按照一定流程进行。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产品采购和使用</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测评是否按照一定的要求进行系统的产品采购。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自行软件开发</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检查相关软件开发文档等，测评自行开发的软件是否采取必要的措施保证开发过程的安全性。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外包软件开发</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检查相关文档，测评外包开发的软件是否采取必要的措施保证开发过程的安全性和日后的维护工作能够正常开展。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工程实施</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检查相关文档，测评系统建设的实施过程是否采取必要的措施使其在机构可控的范围内进行。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测试验收</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检查测试验收等相关文档，测评系统运行前是否对其进行测试验收工作。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系统交付</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检查系统交付清单等过程，测评是否采取必要的措施对系统交付过程进行有效控制。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等级测评</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检查系统之前等级测评的情况，以及之前测评机构的资质等。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服务供应商选择</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测评是否选择符合国家有关规定的安全服务单位进行相关的安全服务工作。</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5.3.10、</w:t>
      </w:r>
      <w:r>
        <w:rPr>
          <w:rFonts w:hint="eastAsia" w:ascii="仿宋" w:hAnsi="仿宋" w:eastAsia="仿宋" w:cs="仿宋"/>
          <w:sz w:val="24"/>
          <w:szCs w:val="24"/>
        </w:rPr>
        <w:t>安全运维管理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如下表：</w:t>
      </w:r>
    </w:p>
    <w:p>
      <w:pPr>
        <w:spacing w:before="156" w:beforeLines="50" w:after="156" w:afterLines="50" w:line="276" w:lineRule="auto"/>
        <w:ind w:firstLine="360" w:firstLineChars="150"/>
        <w:jc w:val="center"/>
        <w:rPr>
          <w:rFonts w:hint="eastAsia" w:ascii="仿宋" w:hAnsi="仿宋" w:eastAsia="仿宋" w:cs="仿宋"/>
          <w:sz w:val="24"/>
          <w:szCs w:val="24"/>
        </w:rPr>
      </w:pPr>
      <w:r>
        <w:rPr>
          <w:rFonts w:hint="eastAsia" w:ascii="仿宋" w:hAnsi="仿宋" w:eastAsia="仿宋" w:cs="仿宋"/>
          <w:sz w:val="24"/>
          <w:szCs w:val="24"/>
        </w:rPr>
        <w:t>表10安全运维管理测评内容</w:t>
      </w:r>
    </w:p>
    <w:tbl>
      <w:tblPr>
        <w:tblStyle w:val="10"/>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10" w:type="dxa"/>
            <w:shd w:val="clear" w:color="000000" w:fill="FFFFFF"/>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1"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工作单元名称</w:t>
            </w:r>
          </w:p>
        </w:tc>
        <w:tc>
          <w:tcPr>
            <w:tcW w:w="5938" w:type="dxa"/>
            <w:shd w:val="clear" w:color="000000" w:fill="FFFFFF"/>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环境管理</w:t>
            </w:r>
          </w:p>
        </w:tc>
        <w:tc>
          <w:tcPr>
            <w:tcW w:w="5938" w:type="dxa"/>
            <w:vAlign w:val="center"/>
          </w:tcPr>
          <w:p>
            <w:pPr>
              <w:rPr>
                <w:rFonts w:hint="eastAsia" w:ascii="仿宋" w:hAnsi="仿宋" w:eastAsia="仿宋" w:cs="仿宋"/>
                <w:snapToGrid w:val="0"/>
                <w:sz w:val="24"/>
                <w:szCs w:val="24"/>
              </w:rPr>
            </w:pPr>
            <w:r>
              <w:rPr>
                <w:rFonts w:hint="eastAsia" w:ascii="仿宋" w:hAnsi="仿宋" w:eastAsia="仿宋" w:cs="仿宋"/>
                <w:sz w:val="24"/>
                <w:szCs w:val="24"/>
              </w:rPr>
              <w:t>检查机房安全管理制度，机房和办公环境等过程，测评是否采取必要的措施对机房的出入控制以及办公环境的人员行为等方面进行安全管理。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资产管理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检查资产清单，检查系统、网络设备等过程，测评是否采取必要的措施对系统的资产进行分类标识管理。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介质管理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检查介质管理记录和各类介质等过程，测评是否采取必要的措施对介质存放环境、使用、维护和销毁等方面进行管理。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设备维护管理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检查设备使用管理文档和设备操作规程等过程，测评是否采取必要的措施确保设备在使用、维护和销毁等过程安全。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漏洞和风险管理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检查系统对于漏洞和安全隐患风险的管理，是否有报告、记录等文档，是否定期开展安全测评等。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网络和系统安全管理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恶意代码防范管理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检查恶意代码防范管理文档和恶意代码检测记录等过程，测评是否采取必要的措施对恶意代码进行有效管理，确保系统具有恶意代码防范能力。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配置管理</w:t>
            </w:r>
          </w:p>
        </w:tc>
        <w:tc>
          <w:tcPr>
            <w:tcW w:w="5938" w:type="dxa"/>
            <w:vAlign w:val="center"/>
          </w:tcPr>
          <w:p>
            <w:pPr>
              <w:rPr>
                <w:rFonts w:hint="eastAsia" w:ascii="仿宋" w:hAnsi="仿宋" w:eastAsia="仿宋" w:cs="仿宋"/>
                <w:sz w:val="24"/>
                <w:szCs w:val="24"/>
              </w:rPr>
            </w:pPr>
            <w:r>
              <w:rPr>
                <w:rFonts w:hint="eastAsia" w:ascii="仿宋" w:hAnsi="仿宋" w:eastAsia="仿宋" w:cs="仿宋"/>
                <w:sz w:val="24"/>
                <w:szCs w:val="24"/>
              </w:rPr>
              <w:t>检查是否对基本配置信息进行记录和保存，基本配置信息改变后是否及时更新基本配置信息库等。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密码管理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测评是否能够确保信息系统中密码算法和密钥的使用符合国家密码管理规定。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701" w:type="dxa"/>
            <w:vAlign w:val="center"/>
          </w:tcPr>
          <w:p>
            <w:pPr>
              <w:jc w:val="center"/>
              <w:rPr>
                <w:rFonts w:hint="eastAsia" w:ascii="仿宋" w:hAnsi="仿宋" w:eastAsia="仿宋" w:cs="仿宋"/>
                <w:snapToGrid w:val="0"/>
                <w:sz w:val="24"/>
                <w:szCs w:val="24"/>
                <w:lang w:eastAsia="zh-TW"/>
              </w:rPr>
            </w:pPr>
            <w:r>
              <w:rPr>
                <w:rFonts w:hint="eastAsia" w:ascii="仿宋" w:hAnsi="仿宋" w:eastAsia="仿宋" w:cs="仿宋"/>
                <w:sz w:val="24"/>
                <w:szCs w:val="24"/>
              </w:rPr>
              <w:t>变更管理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检查变更方案和变更管理制度等过程，测评是否采取必要的措施对系统发生的变更进行有效管理。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备份与恢复管理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检查系统备份管理文档和记录等过程，测评是否采取必要的措施对重要业务信息，系统数据和系统软件进行备份，并确保必要时能够对这些数据有效地恢复。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资产管理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napToGrid w:val="0"/>
                <w:sz w:val="24"/>
                <w:szCs w:val="24"/>
                <w:lang w:eastAsia="zh-TW"/>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应急预案管理</w:t>
            </w:r>
          </w:p>
        </w:tc>
        <w:tc>
          <w:tcPr>
            <w:tcW w:w="5938" w:type="dxa"/>
            <w:vAlign w:val="center"/>
          </w:tcPr>
          <w:p>
            <w:pPr>
              <w:rPr>
                <w:rFonts w:hint="eastAsia" w:ascii="仿宋" w:hAnsi="仿宋" w:eastAsia="仿宋" w:cs="仿宋"/>
                <w:snapToGrid w:val="0"/>
                <w:sz w:val="24"/>
                <w:szCs w:val="24"/>
                <w:lang w:eastAsia="zh-TW"/>
              </w:rPr>
            </w:pPr>
            <w:r>
              <w:rPr>
                <w:rFonts w:hint="eastAsia" w:ascii="仿宋" w:hAnsi="仿宋" w:eastAsia="仿宋" w:cs="仿宋"/>
                <w:sz w:val="24"/>
                <w:szCs w:val="24"/>
              </w:rPr>
              <w:t>检查应急响应预案文档等过程，测评是否针对不同安全事件制定相应的应急预案，是否对应急预案展开培训、演练和审查等。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外包运维管理</w:t>
            </w:r>
          </w:p>
        </w:tc>
        <w:tc>
          <w:tcPr>
            <w:tcW w:w="5938" w:type="dxa"/>
            <w:vAlign w:val="center"/>
          </w:tcPr>
          <w:p>
            <w:pPr>
              <w:rPr>
                <w:rFonts w:hint="eastAsia" w:ascii="仿宋" w:hAnsi="仿宋" w:eastAsia="仿宋" w:cs="仿宋"/>
                <w:sz w:val="24"/>
                <w:szCs w:val="24"/>
              </w:rPr>
            </w:pPr>
            <w:r>
              <w:rPr>
                <w:rFonts w:hint="eastAsia" w:ascii="仿宋" w:hAnsi="仿宋" w:eastAsia="仿宋" w:cs="仿宋"/>
                <w:sz w:val="24"/>
                <w:szCs w:val="24"/>
              </w:rPr>
              <w:t>检查外包运维服务情况，单位是否符合国家有关规定，协议是否明确约定外包运维的范围和工作内容等。</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4.4交付产物</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color w:val="000000"/>
          <w:sz w:val="24"/>
          <w:szCs w:val="24"/>
          <w:highlight w:val="none"/>
          <w:lang w:val="zh-CN" w:eastAsia="zh-CN"/>
        </w:rPr>
      </w:pPr>
      <w:r>
        <w:rPr>
          <w:rFonts w:hint="eastAsia" w:ascii="仿宋" w:hAnsi="仿宋" w:eastAsia="仿宋" w:cs="仿宋"/>
          <w:b w:val="0"/>
          <w:bCs/>
          <w:color w:val="000000"/>
          <w:sz w:val="24"/>
          <w:szCs w:val="24"/>
          <w:highlight w:val="none"/>
          <w:lang w:val="zh-CN" w:eastAsia="zh-CN"/>
        </w:rPr>
        <w:t>包括但不仅限于以下资料：</w:t>
      </w:r>
    </w:p>
    <w:tbl>
      <w:tblPr>
        <w:tblStyle w:val="10"/>
        <w:tblW w:w="7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6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《网络安全等级保护测评报告》（包含整改建议）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67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其他未列入的应交资料</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特殊条件证明材料：《网络安全等级测评与检测评估机构服务认证证书》。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highlight w:val="none"/>
          <w:shd w:val="clear" w:fill="FFFFFF"/>
          <w:lang w:val="en-US" w:eastAsia="zh-CN"/>
        </w:rPr>
        <w:t>9.其他要求文件。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highlight w:val="none"/>
        </w:rPr>
      </w:pPr>
      <w:r>
        <w:rPr>
          <w:rFonts w:hint="default" w:ascii="Times New Roman" w:hAnsi="Times New Roman" w:eastAsia="方正仿宋_GBK" w:cs="Times New Roman"/>
          <w:b w:val="0"/>
          <w:bCs w:val="0"/>
          <w:i w:val="0"/>
          <w:caps w:val="0"/>
          <w:color w:val="auto"/>
          <w:spacing w:val="0"/>
          <w:sz w:val="32"/>
          <w:szCs w:val="32"/>
          <w:highlight w:val="none"/>
          <w:shd w:val="clear" w:fill="FFFFFF"/>
        </w:rPr>
        <w:t>1</w:t>
      </w:r>
      <w:r>
        <w:rPr>
          <w:rFonts w:hint="eastAsia" w:ascii="Times New Roman" w:hAnsi="Times New Roman" w:eastAsia="方正仿宋_GBK" w:cs="Times New Roman"/>
          <w:b w:val="0"/>
          <w:bCs w:val="0"/>
          <w:i w:val="0"/>
          <w:caps w:val="0"/>
          <w:color w:val="auto"/>
          <w:spacing w:val="0"/>
          <w:sz w:val="32"/>
          <w:szCs w:val="32"/>
          <w:highlight w:val="none"/>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封底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highlight w:val="none"/>
        </w:rPr>
      </w:pPr>
      <w:r>
        <w:rPr>
          <w:rFonts w:hint="eastAsia" w:ascii="方正黑体_GBK" w:hAnsi="方正黑体_GBK" w:eastAsia="方正黑体_GBK" w:cs="方正黑体_GBK"/>
          <w:b w:val="0"/>
          <w:bCs w:val="0"/>
          <w:i w:val="0"/>
          <w:caps w:val="0"/>
          <w:color w:val="auto"/>
          <w:spacing w:val="0"/>
          <w:sz w:val="32"/>
          <w:szCs w:val="32"/>
          <w:highlight w:val="none"/>
          <w:shd w:val="clear" w:fill="FFFFFF"/>
        </w:rPr>
        <w:t>六、报价要求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highlight w:val="none"/>
          <w:lang w:eastAsia="zh-CN"/>
        </w:rPr>
      </w:pPr>
      <w:r>
        <w:rPr>
          <w:rFonts w:hint="default" w:ascii="Times New Roman" w:hAnsi="Times New Roman" w:eastAsia="方正仿宋_GBK" w:cs="Times New Roman"/>
          <w:b w:val="0"/>
          <w:bCs w:val="0"/>
          <w:i w:val="0"/>
          <w:caps w:val="0"/>
          <w:color w:val="auto"/>
          <w:spacing w:val="0"/>
          <w:sz w:val="32"/>
          <w:szCs w:val="32"/>
          <w:highlight w:val="none"/>
          <w:shd w:val="clear" w:fill="FFFFFF"/>
        </w:rPr>
        <w:t>1</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以人民币报价。</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highlight w:val="none"/>
        </w:rPr>
      </w:pPr>
      <w:r>
        <w:rPr>
          <w:rFonts w:hint="default" w:ascii="Times New Roman" w:hAnsi="Times New Roman" w:eastAsia="方正仿宋_GBK" w:cs="Times New Roman"/>
          <w:b w:val="0"/>
          <w:bCs w:val="0"/>
          <w:i w:val="0"/>
          <w:caps w:val="0"/>
          <w:color w:val="auto"/>
          <w:spacing w:val="0"/>
          <w:sz w:val="32"/>
          <w:szCs w:val="32"/>
          <w:highlight w:val="none"/>
          <w:shd w:val="clear" w:fill="FFFFFF"/>
        </w:rPr>
        <w:t>2</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报价表中的价格应包括货物设计、材料、制造、包装、运输、装卸、保险、关税、增值税、仓储、商检、卫检、报关、输机、清关手续费、调试、培训、质检、保修、其它伴随服务等所有费用。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highlight w:val="none"/>
          <w:shd w:val="clear" w:fill="FFFFFF"/>
        </w:rPr>
      </w:pPr>
      <w:r>
        <w:rPr>
          <w:rFonts w:hint="default" w:ascii="Times New Roman" w:hAnsi="Times New Roman" w:eastAsia="方正仿宋_GBK" w:cs="Times New Roman"/>
          <w:b w:val="0"/>
          <w:bCs w:val="0"/>
          <w:i w:val="0"/>
          <w:caps w:val="0"/>
          <w:color w:val="auto"/>
          <w:spacing w:val="0"/>
          <w:sz w:val="32"/>
          <w:szCs w:val="32"/>
          <w:highlight w:val="none"/>
          <w:shd w:val="clear" w:fill="FFFFFF"/>
        </w:rPr>
        <w:t>3</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可提供多种备选产品，分别报价，并分别说明性能、配置及参数。</w:t>
      </w:r>
      <w:bookmarkStart w:id="17" w:name="_GoBack"/>
      <w:bookmarkEnd w:id="1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highlight w:val="none"/>
          <w:shd w:val="clear" w:fill="FFFFFF"/>
          <w:lang w:val="en-US" w:eastAsia="zh-CN"/>
        </w:rPr>
        <w:t>七、评审方法：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highlight w:val="yellow"/>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highlight w:val="none"/>
          <w:shd w:val="clear" w:fill="FFFFFF"/>
          <w:lang w:val="en-US" w:eastAsia="zh-CN"/>
        </w:rPr>
        <w:t>综合评分法（附件2）。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八</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成都市金牛区妇幼保健院8楼院务部。文件必须在递交文件截止时间前送达地点。逾期送达、密封和标注错误的文件，恕不接收。本次采购不接收邮寄的响应文件。</w:t>
      </w:r>
    </w:p>
    <w:p>
      <w:pPr>
        <w:pStyle w:val="5"/>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十、其他说明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2.各参会供应商如对此项目有质疑、投诉，请于采购时间截止前即2022年4月25日15：00点前以书面形式向纪检监察室提出，超期不予受理。纪检监察室联系人：邹老师69517102。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10"/>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pStyle w:val="5"/>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14" w:name="_Toc95295163"/>
      <w:bookmarkStart w:id="15" w:name="_Toc237343703"/>
      <w:bookmarkStart w:id="16"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5"/>
        <w:rPr>
          <w:rFonts w:hint="eastAsia" w:ascii="方正仿宋_GBK" w:hAnsi="方正仿宋_GBK" w:eastAsia="方正仿宋_GBK" w:cs="方正仿宋_GBK"/>
          <w:b/>
          <w:bCs/>
          <w:sz w:val="28"/>
          <w:szCs w:val="28"/>
        </w:rPr>
      </w:pPr>
    </w:p>
    <w:p>
      <w:pPr>
        <w:pStyle w:val="5"/>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14"/>
      <w:bookmarkEnd w:id="15"/>
      <w:bookmarkEnd w:id="16"/>
    </w:p>
    <w:p>
      <w:pPr>
        <w:rPr>
          <w:rFonts w:hint="eastAsia" w:ascii="方正仿宋_GBK" w:hAnsi="方正仿宋_GBK" w:eastAsia="方正仿宋_GBK" w:cs="方正仿宋_GBK"/>
        </w:rPr>
      </w:pPr>
    </w:p>
    <w:p>
      <w:pPr>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br w:type="page"/>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附件2</w:t>
      </w:r>
    </w:p>
    <w:tbl>
      <w:tblPr>
        <w:tblStyle w:val="10"/>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11"/>
        <w:gridCol w:w="1149"/>
        <w:gridCol w:w="419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05"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序号</w:t>
            </w:r>
          </w:p>
        </w:tc>
        <w:tc>
          <w:tcPr>
            <w:tcW w:w="131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及权重</w:t>
            </w: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分　值</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评分标准</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05"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w:t>
            </w:r>
          </w:p>
        </w:tc>
        <w:tc>
          <w:tcPr>
            <w:tcW w:w="131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报价10%</w:t>
            </w: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10分</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以满足文件要求且平均报价为基准价，其价格分为满分。其他供应商的价格分统一按照下列公式计算：报价得分=(基准价／报价)×分值；</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905"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w:t>
            </w:r>
          </w:p>
        </w:tc>
        <w:tc>
          <w:tcPr>
            <w:tcW w:w="131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测评方案15%</w:t>
            </w: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测评方案15分</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根据测评对象、要求和内容制定测评方案，包括①测评流程②测评方法③测评指标④测评进度计划⑤配合需求，共五项。阐述缺项的，每缺一项扣2分；若每项阐述不详尽或存在缺陷的，每项扣1分；未提供测评方案的不得分。</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905" w:type="dxa"/>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3</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311" w:type="dxa"/>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实施团队36%</w:t>
            </w: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技术负责人12分</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拟派技术负责人1名，具有</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信息安全等级评测师（高级）证书或网络安全等级评测师（高级）证书；</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信息安全测评师；</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left="0" w:leftChars="0" w:firstLine="28" w:firstLine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注册信息安全专业人员（CISP）证书；</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left="0" w:leftChars="0" w:firstLine="28" w:firstLine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网络与信息安全应急人员（管理I级）；</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left="0" w:leftChars="0" w:firstLine="28" w:firstLine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具有市级以上职称改革工作领导小组颁发的高级职称证书；</w:t>
            </w:r>
          </w:p>
          <w:p>
            <w:pPr>
              <w:keepNext w:val="0"/>
              <w:keepLines w:val="0"/>
              <w:pageBreakBefore w:val="0"/>
              <w:widowControl w:val="0"/>
              <w:numPr>
                <w:ilvl w:val="0"/>
                <w:numId w:val="2"/>
              </w:numPr>
              <w:kinsoku/>
              <w:wordWrap/>
              <w:overflowPunct/>
              <w:topLinePunct/>
              <w:autoSpaceDE/>
              <w:autoSpaceDN/>
              <w:bidi w:val="0"/>
              <w:adjustRightInd w:val="0"/>
              <w:snapToGrid w:val="0"/>
              <w:spacing w:line="240" w:lineRule="auto"/>
              <w:ind w:left="0" w:leftChars="0" w:firstLine="28" w:firstLine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注册云安全系统认证专家（CCSSP）证书。</w:t>
            </w:r>
          </w:p>
          <w:p>
            <w:pPr>
              <w:keepNext w:val="0"/>
              <w:keepLines w:val="0"/>
              <w:pageBreakBefore w:val="0"/>
              <w:widowControl w:val="0"/>
              <w:numPr>
                <w:ilvl w:val="0"/>
                <w:numId w:val="0"/>
              </w:numPr>
              <w:kinsoku/>
              <w:wordWrap/>
              <w:overflowPunct/>
              <w:topLinePunct/>
              <w:autoSpaceDE/>
              <w:autoSpaceDN/>
              <w:bidi w:val="0"/>
              <w:adjustRightInd w:val="0"/>
              <w:snapToGrid w:val="0"/>
              <w:spacing w:line="240" w:lineRule="auto"/>
              <w:ind w:left="28" w:left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全部提供得12分，每有一项不提供扣2分，扣完为止。</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说明：供应商需提供以上人员证书复印件并加盖供应商公章。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05"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311"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项目经理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14分</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拟派项目经理1名，具有</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信息安全等级评测师（高级）证书或网络安全等级评测师（高级）证书；</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信息安全测评师；</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网络与信息安全应急人员（管理I级）；</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注册云安全系统认证专家（CCSSP）证书；</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信息安全保障人员（CISAW）（认证方向：应急服务）；</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计算机软件产品检验员证书;</w:t>
            </w:r>
          </w:p>
          <w:p>
            <w:pPr>
              <w:keepNext w:val="0"/>
              <w:keepLines w:val="0"/>
              <w:pageBreakBefore w:val="0"/>
              <w:widowControl w:val="0"/>
              <w:numPr>
                <w:ilvl w:val="0"/>
                <w:numId w:val="3"/>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获得过国家信息安全等级保护工作协调小组办公室颁发的个人荣誉证书。全部提供得14分，每有一项不提供扣2分，扣完为止。</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说明：供应商需提供以上人员证书复印件并加盖供应商公章。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905"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311"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4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测试人员10分</w:t>
            </w:r>
          </w:p>
        </w:tc>
        <w:tc>
          <w:tcPr>
            <w:tcW w:w="4191"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测试人员2名，具有</w:t>
            </w:r>
          </w:p>
          <w:p>
            <w:pPr>
              <w:keepNext w:val="0"/>
              <w:keepLines w:val="0"/>
              <w:pageBreakBefore w:val="0"/>
              <w:widowControl w:val="0"/>
              <w:numPr>
                <w:ilvl w:val="0"/>
                <w:numId w:val="4"/>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网络与信息安全应急人员（技术I级）;</w:t>
            </w:r>
          </w:p>
          <w:p>
            <w:pPr>
              <w:keepNext w:val="0"/>
              <w:keepLines w:val="0"/>
              <w:pageBreakBefore w:val="0"/>
              <w:widowControl w:val="0"/>
              <w:numPr>
                <w:ilvl w:val="0"/>
                <w:numId w:val="4"/>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注册网络安全专业防御人员（NSATP-D）;</w:t>
            </w:r>
          </w:p>
          <w:p>
            <w:pPr>
              <w:keepNext w:val="0"/>
              <w:keepLines w:val="0"/>
              <w:pageBreakBefore w:val="0"/>
              <w:widowControl w:val="0"/>
              <w:numPr>
                <w:ilvl w:val="0"/>
                <w:numId w:val="4"/>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信息安全保障人员（CISAW）；</w:t>
            </w:r>
          </w:p>
          <w:p>
            <w:pPr>
              <w:keepNext w:val="0"/>
              <w:keepLines w:val="0"/>
              <w:pageBreakBefore w:val="0"/>
              <w:widowControl w:val="0"/>
              <w:numPr>
                <w:ilvl w:val="0"/>
                <w:numId w:val="4"/>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注册云安全系统认证专家（CCSSP）证书；</w:t>
            </w:r>
          </w:p>
          <w:p>
            <w:pPr>
              <w:keepNext w:val="0"/>
              <w:keepLines w:val="0"/>
              <w:pageBreakBefore w:val="0"/>
              <w:widowControl w:val="0"/>
              <w:numPr>
                <w:ilvl w:val="0"/>
                <w:numId w:val="4"/>
              </w:numPr>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计算机技术与软件专业技术资格（信息安全工程师）证书。</w:t>
            </w:r>
          </w:p>
          <w:p>
            <w:pPr>
              <w:keepNext w:val="0"/>
              <w:keepLines w:val="0"/>
              <w:pageBreakBefore w:val="0"/>
              <w:widowControl w:val="0"/>
              <w:numPr>
                <w:ilvl w:val="0"/>
                <w:numId w:val="0"/>
              </w:numPr>
              <w:kinsoku/>
              <w:wordWrap/>
              <w:overflowPunct/>
              <w:topLinePunct/>
              <w:autoSpaceDE/>
              <w:autoSpaceDN/>
              <w:bidi w:val="0"/>
              <w:adjustRightInd w:val="0"/>
              <w:snapToGrid w:val="0"/>
              <w:spacing w:line="240" w:lineRule="auto"/>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每提供一人含上述任意证书的得2分，同一证书不重复得分，最高得10分，不提供不得分。</w:t>
            </w:r>
          </w:p>
        </w:tc>
        <w:tc>
          <w:tcPr>
            <w:tcW w:w="1809" w:type="dxa"/>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说明：供应商需提供以上人员证书复印件并加盖供应商公章。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6</w:t>
            </w:r>
          </w:p>
        </w:tc>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供应商业绩10%</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10分</w:t>
            </w:r>
          </w:p>
        </w:tc>
        <w:tc>
          <w:tcPr>
            <w:tcW w:w="4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2019年1月1日至投标截止日起，每具有1个类似项目业绩得2分，最多得10分。</w:t>
            </w:r>
          </w:p>
        </w:tc>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说明：供应商需提供合同复印件或中标（成交）通知书复印件并加盖供应商单位公章。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7</w:t>
            </w:r>
          </w:p>
        </w:tc>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企业资质29%</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29分</w:t>
            </w:r>
          </w:p>
        </w:tc>
        <w:tc>
          <w:tcPr>
            <w:tcW w:w="4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1.具有ISO9001质量管理体系认证证书, 认证范围包括“评估测试服务”得3分；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2.具有ISO20000信息技术服务管理体系证书, 认证范围包括“评估测试服务”得3分；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3.具有ISO27001信息安全管理体系证书, 认证范围包括“评估测试服务”得3分；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4.投标人具有工业信息安全应急服务支撑单位证书得3分；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5.具有工业信息安全测试评估机构能力认定证书得3分；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6.供应商具有中国合格评定国家认可委员会颁发的检验机构认可证书（CNAS），认可检验能力范围涵盖“信息系统网络安全等级保护测评”的得4分；</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default"/>
                <w:lang w:val="en-US" w:eastAsia="zh-CN"/>
              </w:rPr>
            </w:pPr>
            <w:r>
              <w:rPr>
                <w:rFonts w:hint="eastAsia" w:ascii="仿宋_GB2312" w:hAnsi="仿宋_GB2312" w:eastAsia="仿宋_GB2312" w:cs="仿宋_GB2312"/>
                <w:color w:val="000000"/>
                <w:kern w:val="2"/>
                <w:sz w:val="24"/>
                <w:szCs w:val="24"/>
                <w:highlight w:val="none"/>
                <w:lang w:val="en-US" w:eastAsia="zh-CN" w:bidi="ar-SA"/>
              </w:rPr>
              <w:t>7.投标人在2018年至今，具有一份及以上CNVD颁发的“原创漏洞证明”证书，一个得1分，最高得10分。</w:t>
            </w:r>
          </w:p>
        </w:tc>
        <w:tc>
          <w:tcPr>
            <w:tcW w:w="1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共同评分因素</w:t>
            </w:r>
          </w:p>
          <w:p>
            <w:pPr>
              <w:keepNext w:val="0"/>
              <w:keepLines w:val="0"/>
              <w:pageBreakBefore w:val="0"/>
              <w:widowControl w:val="0"/>
              <w:kinsoku/>
              <w:wordWrap/>
              <w:overflowPunct/>
              <w:topLinePunct/>
              <w:autoSpaceDE/>
              <w:autoSpaceDN/>
              <w:bidi w:val="0"/>
              <w:adjustRightInd w:val="0"/>
              <w:snapToGrid w:val="0"/>
              <w:spacing w:line="240" w:lineRule="auto"/>
              <w:ind w:firstLine="28"/>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说明：供应商需提供有效证明文件复印件并加盖供应商公章。</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E12E"/>
    <w:multiLevelType w:val="singleLevel"/>
    <w:tmpl w:val="8D43E12E"/>
    <w:lvl w:ilvl="0" w:tentative="0">
      <w:start w:val="4"/>
      <w:numFmt w:val="chineseCounting"/>
      <w:suff w:val="nothing"/>
      <w:lvlText w:val="%1、"/>
      <w:lvlJc w:val="left"/>
      <w:rPr>
        <w:rFonts w:hint="eastAsia"/>
      </w:rPr>
    </w:lvl>
  </w:abstractNum>
  <w:abstractNum w:abstractNumId="1">
    <w:nsid w:val="E6CCC0A7"/>
    <w:multiLevelType w:val="singleLevel"/>
    <w:tmpl w:val="E6CCC0A7"/>
    <w:lvl w:ilvl="0" w:tentative="0">
      <w:start w:val="1"/>
      <w:numFmt w:val="decimal"/>
      <w:lvlText w:val="%1."/>
      <w:lvlJc w:val="left"/>
      <w:pPr>
        <w:tabs>
          <w:tab w:val="left" w:pos="312"/>
        </w:tabs>
      </w:pPr>
    </w:lvl>
  </w:abstractNum>
  <w:abstractNum w:abstractNumId="2">
    <w:nsid w:val="F6C0A86D"/>
    <w:multiLevelType w:val="singleLevel"/>
    <w:tmpl w:val="F6C0A86D"/>
    <w:lvl w:ilvl="0" w:tentative="0">
      <w:start w:val="1"/>
      <w:numFmt w:val="decimal"/>
      <w:lvlText w:val="%1."/>
      <w:lvlJc w:val="left"/>
      <w:pPr>
        <w:tabs>
          <w:tab w:val="left" w:pos="312"/>
        </w:tabs>
      </w:pPr>
    </w:lvl>
  </w:abstractNum>
  <w:abstractNum w:abstractNumId="3">
    <w:nsid w:val="143D2A35"/>
    <w:multiLevelType w:val="singleLevel"/>
    <w:tmpl w:val="143D2A35"/>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AFB1F9E"/>
    <w:rsid w:val="0C9055B6"/>
    <w:rsid w:val="0CEE6A14"/>
    <w:rsid w:val="0EBA4E8E"/>
    <w:rsid w:val="0FE413DC"/>
    <w:rsid w:val="1162444E"/>
    <w:rsid w:val="117F2E61"/>
    <w:rsid w:val="12E52D08"/>
    <w:rsid w:val="13A77585"/>
    <w:rsid w:val="161B541A"/>
    <w:rsid w:val="16836895"/>
    <w:rsid w:val="17053C88"/>
    <w:rsid w:val="170562A4"/>
    <w:rsid w:val="17D441AF"/>
    <w:rsid w:val="1CD0404A"/>
    <w:rsid w:val="1D322B81"/>
    <w:rsid w:val="1E1B6F14"/>
    <w:rsid w:val="1F13725E"/>
    <w:rsid w:val="20567118"/>
    <w:rsid w:val="24DD4E69"/>
    <w:rsid w:val="24E574D0"/>
    <w:rsid w:val="25736412"/>
    <w:rsid w:val="26556455"/>
    <w:rsid w:val="281F755F"/>
    <w:rsid w:val="28402FD3"/>
    <w:rsid w:val="2E346F6D"/>
    <w:rsid w:val="361241B9"/>
    <w:rsid w:val="39A83D55"/>
    <w:rsid w:val="39DE699F"/>
    <w:rsid w:val="3B8F401D"/>
    <w:rsid w:val="3C4E276F"/>
    <w:rsid w:val="3CB56187"/>
    <w:rsid w:val="3DAE77A5"/>
    <w:rsid w:val="439747DB"/>
    <w:rsid w:val="45CE55D0"/>
    <w:rsid w:val="463B24C2"/>
    <w:rsid w:val="47B34975"/>
    <w:rsid w:val="47DA2A11"/>
    <w:rsid w:val="4AC43BB5"/>
    <w:rsid w:val="4AE54F85"/>
    <w:rsid w:val="4BA04C0E"/>
    <w:rsid w:val="4F4B389A"/>
    <w:rsid w:val="51A23C60"/>
    <w:rsid w:val="52527665"/>
    <w:rsid w:val="54A83452"/>
    <w:rsid w:val="552E4660"/>
    <w:rsid w:val="565D1B7E"/>
    <w:rsid w:val="57AF75B9"/>
    <w:rsid w:val="591E680A"/>
    <w:rsid w:val="5B6D266F"/>
    <w:rsid w:val="5D0F4ED6"/>
    <w:rsid w:val="5D9A4294"/>
    <w:rsid w:val="5E1967D1"/>
    <w:rsid w:val="5E73272A"/>
    <w:rsid w:val="5E886BC3"/>
    <w:rsid w:val="611D0AAE"/>
    <w:rsid w:val="616A08BA"/>
    <w:rsid w:val="61F94671"/>
    <w:rsid w:val="621F4120"/>
    <w:rsid w:val="649E29D3"/>
    <w:rsid w:val="6A202986"/>
    <w:rsid w:val="6ADD2C72"/>
    <w:rsid w:val="6B803D0B"/>
    <w:rsid w:val="6D786628"/>
    <w:rsid w:val="6F0A6946"/>
    <w:rsid w:val="702D6E9D"/>
    <w:rsid w:val="715A42A8"/>
    <w:rsid w:val="74570166"/>
    <w:rsid w:val="746B54C1"/>
    <w:rsid w:val="747A3206"/>
    <w:rsid w:val="748848EE"/>
    <w:rsid w:val="74EE53EC"/>
    <w:rsid w:val="762C15D7"/>
    <w:rsid w:val="7A001CBD"/>
    <w:rsid w:val="7A35588F"/>
    <w:rsid w:val="7B4A12E3"/>
    <w:rsid w:val="7C2A2E67"/>
    <w:rsid w:val="7C822464"/>
    <w:rsid w:val="7CF2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styleId="4">
    <w:name w:val="Normal Indent"/>
    <w:basedOn w:val="1"/>
    <w:qFormat/>
    <w:uiPriority w:val="0"/>
    <w:pPr>
      <w:ind w:firstLine="420" w:firstLineChars="200"/>
    </w:pPr>
  </w:style>
  <w:style w:type="paragraph" w:styleId="5">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Body Text Indent"/>
    <w:basedOn w:val="1"/>
    <w:qFormat/>
    <w:uiPriority w:val="99"/>
    <w:pPr>
      <w:spacing w:after="120"/>
      <w:ind w:left="420" w:leftChars="200"/>
    </w:pPr>
  </w:style>
  <w:style w:type="paragraph" w:styleId="7">
    <w:name w:val="Plain Text"/>
    <w:basedOn w:val="1"/>
    <w:qFormat/>
    <w:uiPriority w:val="0"/>
    <w:pPr>
      <w:spacing w:before="0" w:after="0" w:line="240" w:lineRule="auto"/>
      <w:ind w:left="0" w:firstLine="0"/>
    </w:pPr>
    <w:rPr>
      <w:rFonts w:ascii="宋体" w:hAnsi="Courier New" w:eastAsia="宋体" w:cs="Courier New"/>
      <w:szCs w:val="21"/>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styleId="14">
    <w:name w:val="List Paragraph"/>
    <w:basedOn w:val="1"/>
    <w:qFormat/>
    <w:uiPriority w:val="0"/>
    <w:pPr>
      <w:ind w:firstLine="420" w:firstLineChars="200"/>
    </w:pPr>
    <w:rPr>
      <w:rFonts w:ascii="Calibri" w:hAnsi="Calibri" w:eastAsia="宋体" w:cs="Times New Roman"/>
      <w:szCs w:val="22"/>
    </w:rPr>
  </w:style>
  <w:style w:type="character" w:customStyle="1" w:styleId="15">
    <w:name w:val="font01"/>
    <w:basedOn w:val="12"/>
    <w:qFormat/>
    <w:uiPriority w:val="0"/>
    <w:rPr>
      <w:rFonts w:hint="default" w:ascii="Times New Roman" w:hAnsi="Times New Roman" w:cs="Times New Roman"/>
      <w:color w:val="000000"/>
      <w:sz w:val="14"/>
      <w:szCs w:val="14"/>
      <w:u w:val="none"/>
    </w:rPr>
  </w:style>
  <w:style w:type="character" w:customStyle="1" w:styleId="16">
    <w:name w:val="font31"/>
    <w:basedOn w:val="12"/>
    <w:qFormat/>
    <w:uiPriority w:val="0"/>
    <w:rPr>
      <w:rFonts w:hint="eastAsia" w:ascii="宋体" w:hAnsi="宋体" w:eastAsia="宋体" w:cs="宋体"/>
      <w:color w:val="000000"/>
      <w:sz w:val="24"/>
      <w:szCs w:val="24"/>
      <w:u w:val="none"/>
    </w:rPr>
  </w:style>
  <w:style w:type="paragraph" w:customStyle="1" w:styleId="17">
    <w:name w:val="样式 楷体_GB2312 小四 行距: 1.5 倍行距"/>
    <w:basedOn w:val="1"/>
    <w:qFormat/>
    <w:uiPriority w:val="0"/>
    <w:pPr>
      <w:spacing w:line="360" w:lineRule="auto"/>
      <w:ind w:firstLine="200" w:firstLineChars="200"/>
    </w:pPr>
    <w:rPr>
      <w:rFonts w:ascii="楷体_GB2312" w:hAnsi="Calibri" w:eastAsia="楷体_GB2312" w:cs="宋体"/>
      <w:sz w:val="24"/>
      <w:szCs w:val="20"/>
    </w:rPr>
  </w:style>
  <w:style w:type="paragraph" w:customStyle="1" w:styleId="18">
    <w:name w:val="小四正文"/>
    <w:basedOn w:val="1"/>
    <w:next w:val="1"/>
    <w:qFormat/>
    <w:uiPriority w:val="0"/>
    <w:pPr>
      <w:spacing w:line="360" w:lineRule="auto"/>
      <w:ind w:firstLine="200" w:firstLineChars="200"/>
    </w:pPr>
    <w:rPr>
      <w:rFonts w:ascii="Calibri" w:hAnsi="Calibri" w:eastAsia="宋体" w:cs="Times New Roman"/>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7301</Words>
  <Characters>7519</Characters>
  <Lines>0</Lines>
  <Paragraphs>0</Paragraphs>
  <TotalTime>12</TotalTime>
  <ScaleCrop>false</ScaleCrop>
  <LinksUpToDate>false</LinksUpToDate>
  <CharactersWithSpaces>7797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关小西</cp:lastModifiedBy>
  <dcterms:modified xsi:type="dcterms:W3CDTF">2022-04-21T06:26:32Z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0A0ADD54AA2343AA9A8C9860355B996B</vt:lpwstr>
  </property>
</Properties>
</file>