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70" w:lineRule="exact"/>
        <w:ind w:firstLine="42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成都市金牛区妇幼保健院</w:t>
      </w:r>
    </w:p>
    <w:p>
      <w:pPr>
        <w:pStyle w:val="5"/>
        <w:widowControl/>
        <w:shd w:val="clear" w:color="auto" w:fill="FFFFFF"/>
        <w:spacing w:beforeAutospacing="0" w:afterAutospacing="0" w:line="570" w:lineRule="exact"/>
        <w:ind w:firstLine="42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院内</w:t>
      </w:r>
      <w:r>
        <w:rPr>
          <w:rFonts w:hint="eastAsia" w:ascii="Times New Roman" w:hAnsi="Times New Roman" w:eastAsia="方正小标宋_GBK"/>
          <w:sz w:val="44"/>
          <w:szCs w:val="44"/>
          <w:shd w:val="clear" w:color="auto" w:fill="FFFFFF"/>
          <w:lang w:val="en-US" w:eastAsia="zh-CN"/>
        </w:rPr>
        <w:t>比选</w:t>
      </w:r>
      <w:r>
        <w:rPr>
          <w:rFonts w:ascii="Times New Roman" w:hAnsi="Times New Roman" w:eastAsia="方正小标宋_GBK"/>
          <w:sz w:val="44"/>
          <w:szCs w:val="44"/>
          <w:shd w:val="clear" w:color="auto" w:fill="FFFFFF"/>
        </w:rPr>
        <w:t>公告</w:t>
      </w:r>
    </w:p>
    <w:p>
      <w:pPr>
        <w:pStyle w:val="5"/>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adjustRightInd w:val="0"/>
        <w:snapToGrid w:val="0"/>
        <w:spacing w:line="5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shd w:val="clear" w:color="auto" w:fill="FFFFFF"/>
        </w:rPr>
        <w:t>成都市</w:t>
      </w:r>
      <w:r>
        <w:rPr>
          <w:rFonts w:hint="eastAsia" w:ascii="Times New Roman" w:hAnsi="Times New Roman" w:eastAsia="方正仿宋_GBK"/>
          <w:color w:val="auto"/>
          <w:sz w:val="32"/>
          <w:szCs w:val="32"/>
          <w:shd w:val="clear" w:color="auto" w:fill="FFFFFF"/>
          <w:lang w:eastAsia="zh-CN"/>
        </w:rPr>
        <w:t>金牛区妇幼保健院</w:t>
      </w:r>
      <w:r>
        <w:rPr>
          <w:rFonts w:hint="eastAsia" w:ascii="Times New Roman" w:hAnsi="Times New Roman" w:eastAsia="方正仿宋_GBK"/>
          <w:color w:val="auto"/>
          <w:sz w:val="32"/>
          <w:szCs w:val="32"/>
          <w:shd w:val="clear" w:color="auto" w:fill="FFFFFF"/>
        </w:rPr>
        <w:t>作为</w:t>
      </w:r>
      <w:r>
        <w:rPr>
          <w:rFonts w:hint="eastAsia" w:ascii="Times New Roman" w:hAnsi="Times New Roman" w:eastAsia="方正仿宋_GBK"/>
          <w:color w:val="auto"/>
          <w:sz w:val="32"/>
          <w:szCs w:val="32"/>
          <w:shd w:val="clear" w:color="auto" w:fill="FFFFFF"/>
          <w:lang w:eastAsia="zh-CN"/>
        </w:rPr>
        <w:t>采购人</w:t>
      </w:r>
      <w:r>
        <w:rPr>
          <w:rFonts w:hint="eastAsia" w:ascii="Times New Roman" w:hAnsi="Times New Roman" w:eastAsia="方正仿宋_GBK"/>
          <w:color w:val="auto"/>
          <w:sz w:val="32"/>
          <w:szCs w:val="32"/>
          <w:shd w:val="clear" w:color="auto" w:fill="FFFFFF"/>
        </w:rPr>
        <w:t>，根据工作安排，拟通过比选方式</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择优选择两家第三方采购代理机构对</w:t>
      </w:r>
      <w:r>
        <w:rPr>
          <w:rFonts w:hint="eastAsia" w:ascii="Times New Roman" w:hAnsi="Times New Roman" w:eastAsia="方正仿宋_GBK"/>
          <w:color w:val="auto"/>
          <w:sz w:val="32"/>
          <w:szCs w:val="32"/>
          <w:shd w:val="clear" w:color="auto" w:fill="FFFFFF"/>
          <w:lang w:val="en-US" w:eastAsia="zh-CN"/>
        </w:rPr>
        <w:t>医院</w:t>
      </w:r>
      <w:r>
        <w:rPr>
          <w:rFonts w:hint="eastAsia" w:ascii="Times New Roman" w:hAnsi="Times New Roman" w:eastAsia="方正仿宋_GBK"/>
          <w:color w:val="auto"/>
          <w:sz w:val="32"/>
          <w:szCs w:val="32"/>
          <w:shd w:val="clear" w:color="auto" w:fill="FFFFFF"/>
        </w:rPr>
        <w:t>采购项目进行采购代理。</w:t>
      </w:r>
      <w:r>
        <w:rPr>
          <w:rFonts w:ascii="Times New Roman" w:hAnsi="Times New Roman" w:eastAsia="方正仿宋_GBK"/>
          <w:color w:val="auto"/>
          <w:sz w:val="32"/>
          <w:szCs w:val="32"/>
          <w:shd w:val="clear" w:color="auto" w:fill="FFFFFF"/>
        </w:rPr>
        <w:t>欢迎符合条件的供应商参加。</w:t>
      </w:r>
      <w:r>
        <w:rPr>
          <w:rFonts w:hint="eastAsia" w:ascii="Times New Roman" w:hAnsi="Times New Roman" w:eastAsia="方正仿宋_GBK"/>
          <w:color w:val="auto"/>
          <w:sz w:val="32"/>
          <w:szCs w:val="32"/>
          <w:shd w:val="clear" w:color="auto" w:fill="FFFFFF"/>
          <w:lang w:eastAsia="zh-CN"/>
        </w:rPr>
        <w:t>具体事宜公告</w:t>
      </w:r>
      <w:r>
        <w:rPr>
          <w:rFonts w:ascii="Times New Roman" w:hAnsi="Times New Roman" w:eastAsia="方正仿宋_GBK"/>
          <w:color w:val="auto"/>
          <w:sz w:val="32"/>
          <w:szCs w:val="32"/>
          <w:shd w:val="clear" w:color="auto" w:fill="FFFFFF"/>
        </w:rPr>
        <w:t>如下：</w:t>
      </w:r>
    </w:p>
    <w:p>
      <w:pPr>
        <w:pStyle w:val="5"/>
        <w:widowControl/>
        <w:numPr>
          <w:ilvl w:val="0"/>
          <w:numId w:val="1"/>
        </w:numPr>
        <w:shd w:val="clear" w:color="auto" w:fill="FFFFFF"/>
        <w:spacing w:beforeAutospacing="0" w:afterAutospacing="0" w:line="570" w:lineRule="exact"/>
        <w:ind w:firstLine="420"/>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项目名称</w:t>
      </w:r>
    </w:p>
    <w:p>
      <w:pPr>
        <w:pStyle w:val="5"/>
        <w:widowControl/>
        <w:shd w:val="clear" w:color="auto" w:fill="FFFFFF"/>
        <w:spacing w:beforeAutospacing="0" w:afterAutospacing="0" w:line="570" w:lineRule="exact"/>
        <w:ind w:firstLine="420"/>
        <w:rPr>
          <w:rFonts w:hint="eastAsia" w:ascii="Times New Roman" w:hAnsi="Times New Roman" w:eastAsia="方正仿宋_GBK"/>
          <w:color w:val="auto"/>
          <w:sz w:val="32"/>
          <w:szCs w:val="32"/>
          <w:shd w:val="clear" w:color="auto" w:fill="FFFFFF"/>
          <w:lang w:val="en-US" w:eastAsia="zh-CN"/>
        </w:rPr>
      </w:pPr>
      <w:r>
        <w:rPr>
          <w:rFonts w:hint="eastAsia" w:ascii="Times New Roman" w:hAnsi="Times New Roman" w:eastAsia="方正仿宋_GBK"/>
          <w:color w:val="auto"/>
          <w:sz w:val="32"/>
          <w:szCs w:val="32"/>
          <w:shd w:val="clear" w:color="auto" w:fill="FFFFFF"/>
        </w:rPr>
        <w:t>成都市</w:t>
      </w:r>
      <w:r>
        <w:rPr>
          <w:rFonts w:hint="eastAsia" w:ascii="Times New Roman" w:hAnsi="Times New Roman" w:eastAsia="方正仿宋_GBK"/>
          <w:color w:val="auto"/>
          <w:sz w:val="32"/>
          <w:szCs w:val="32"/>
          <w:shd w:val="clear" w:color="auto" w:fill="FFFFFF"/>
          <w:lang w:eastAsia="zh-CN"/>
        </w:rPr>
        <w:t>金牛区妇幼保健院</w:t>
      </w:r>
      <w:r>
        <w:rPr>
          <w:rFonts w:hint="eastAsia" w:ascii="Times New Roman" w:hAnsi="Times New Roman" w:eastAsia="方正仿宋_GBK"/>
          <w:color w:val="auto"/>
          <w:sz w:val="32"/>
          <w:szCs w:val="32"/>
          <w:shd w:val="clear" w:color="auto" w:fill="FFFFFF"/>
          <w:lang w:val="en-US" w:eastAsia="zh-CN"/>
        </w:rPr>
        <w:t>2022-2024年度采购第三方采购代理机构比选项目</w:t>
      </w:r>
    </w:p>
    <w:p>
      <w:pPr>
        <w:pStyle w:val="5"/>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二、投标单位要求</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1、在中华人民共和国境内注册，具有独立法人资格的合法企业（提供“统一社会信用代码营业执照”；未换证的提供“营业执照、税务登记证、组织机构代码证或三证合一的营业执照”）；</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2、在四川省政府采购网中的代理机构栏目进行了网上登记；</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3、参加本次比选活动前三年内在经营活动中没有重大违法记录；</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4、本项目不接受联合体参加；</w:t>
      </w:r>
    </w:p>
    <w:p>
      <w:pPr>
        <w:pStyle w:val="5"/>
        <w:widowControl/>
        <w:shd w:val="clear" w:color="auto" w:fill="FFFFFF"/>
        <w:spacing w:beforeAutospacing="0" w:afterAutospacing="0" w:line="570" w:lineRule="exact"/>
        <w:ind w:firstLine="420"/>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lang w:val="en-US" w:eastAsia="zh-CN"/>
        </w:rPr>
        <w:t>三</w:t>
      </w:r>
      <w:r>
        <w:rPr>
          <w:rFonts w:hint="eastAsia" w:ascii="方正黑体_GBK" w:hAnsi="方正黑体_GBK" w:eastAsia="方正黑体_GBK" w:cs="方正黑体_GBK"/>
          <w:color w:val="auto"/>
          <w:sz w:val="32"/>
          <w:szCs w:val="32"/>
          <w:shd w:val="clear" w:color="auto" w:fill="FFFFFF"/>
        </w:rPr>
        <w:t>、比选响应文件</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3.1 比选响应文件的编制</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3.1.1 比选响应文件的格式</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比选响应文件应按</w:t>
      </w:r>
      <w:r>
        <w:rPr>
          <w:rFonts w:hint="eastAsia" w:ascii="Times New Roman" w:hAnsi="Times New Roman" w:eastAsia="方正仿宋_GBK" w:cs="Times New Roman"/>
          <w:kern w:val="0"/>
          <w:sz w:val="32"/>
          <w:szCs w:val="32"/>
          <w:shd w:val="clear" w:color="auto" w:fill="FFFFFF"/>
          <w:lang w:val="en-US" w:eastAsia="zh-CN" w:bidi="ar"/>
        </w:rPr>
        <w:t>要求</w:t>
      </w:r>
      <w:r>
        <w:rPr>
          <w:rFonts w:hint="eastAsia" w:ascii="Times New Roman" w:hAnsi="Times New Roman" w:eastAsia="方正仿宋_GBK" w:cs="Times New Roman"/>
          <w:kern w:val="0"/>
          <w:sz w:val="32"/>
          <w:szCs w:val="32"/>
          <w:shd w:val="clear" w:color="auto" w:fill="FFFFFF"/>
          <w:lang w:bidi="ar"/>
        </w:rPr>
        <w:t>进行编写，至少包括“比选响应文件格式”的各项内容。本比选文件要求提供的证明文件，比选申请人必须提供；本比选文件没有要求提供的证明文件，比选申请人认为需要提供的，也可以提供。</w:t>
      </w:r>
    </w:p>
    <w:p>
      <w:pPr>
        <w:pStyle w:val="5"/>
        <w:widowControl/>
        <w:shd w:val="clear" w:color="auto" w:fill="FFFFFF"/>
        <w:spacing w:beforeAutospacing="0" w:afterAutospacing="0" w:line="570" w:lineRule="exact"/>
        <w:ind w:firstLine="420"/>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bidi="ar"/>
        </w:rPr>
        <w:t>3.1.2比选响应文件应全部用不褪色的墨水（粉）书写或打印，不得有任何涂改。比选文件</w:t>
      </w:r>
      <w:r>
        <w:rPr>
          <w:rFonts w:hint="eastAsia" w:ascii="Times New Roman" w:hAnsi="Times New Roman" w:eastAsia="方正仿宋_GBK" w:cs="Times New Roman"/>
          <w:kern w:val="0"/>
          <w:sz w:val="32"/>
          <w:szCs w:val="32"/>
          <w:shd w:val="clear" w:color="auto" w:fill="FFFFFF"/>
          <w:lang w:val="en-US" w:eastAsia="zh-CN" w:bidi="ar"/>
        </w:rPr>
        <w:t>只需要</w:t>
      </w:r>
      <w:r>
        <w:rPr>
          <w:rFonts w:hint="eastAsia" w:ascii="Times New Roman" w:hAnsi="Times New Roman" w:eastAsia="方正仿宋_GBK" w:cs="Times New Roman"/>
          <w:b/>
          <w:bCs/>
          <w:kern w:val="0"/>
          <w:sz w:val="32"/>
          <w:szCs w:val="32"/>
          <w:shd w:val="clear" w:color="auto" w:fill="FFFFFF"/>
          <w:lang w:bidi="ar"/>
        </w:rPr>
        <w:t>正本</w:t>
      </w:r>
      <w:r>
        <w:rPr>
          <w:rFonts w:hint="eastAsia" w:ascii="Times New Roman" w:hAnsi="Times New Roman" w:eastAsia="方正仿宋_GBK" w:cs="Times New Roman"/>
          <w:b/>
          <w:bCs/>
          <w:kern w:val="0"/>
          <w:sz w:val="32"/>
          <w:szCs w:val="32"/>
          <w:shd w:val="clear" w:color="auto" w:fill="FFFFFF"/>
          <w:lang w:val="en-US" w:eastAsia="zh-CN" w:bidi="ar"/>
        </w:rPr>
        <w:t>一本，并密封</w:t>
      </w:r>
      <w:r>
        <w:rPr>
          <w:rFonts w:hint="eastAsia" w:ascii="Times New Roman" w:hAnsi="Times New Roman" w:eastAsia="方正仿宋_GBK" w:cs="Times New Roman"/>
          <w:kern w:val="0"/>
          <w:sz w:val="32"/>
          <w:szCs w:val="32"/>
          <w:shd w:val="clear" w:color="auto" w:fill="FFFFFF"/>
          <w:lang w:val="en-US" w:eastAsia="zh-CN" w:bidi="ar"/>
        </w:rPr>
        <w:t>。</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3.2 比选响应文件的签署</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3.2.1比选响应文件应由比选申请人的法定代表人/单位负责人或其授权代表在比选响应文件要求的地方签字或加盖私人印章，要求加盖公章的地方加盖单位公章，不得使用专用章（如经济合同章、投标专用章等）或下属单位印章代替，否则文件无效。</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3.2.2 比选响应文件的密封与标识</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比选响应文件的正本密封。比选响应文件的外包装应保证其密封性。封套上应清楚地载明比选申请人的名称、项目名称。</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3.3比选响应文件的递交</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比选响应文件应该在比选须知前附表中规定的比选响应文件提交截止时间前递交。迟到的比选文件比选人将拒绝接收。</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3.4 比选响应文件至少应包括：法定代表人授权书、报价、采购代理服务的主要内容响应表、机构组织结构及资格信息、招标代理机构简介及荣誉、代理采购业绩、拟投入本代理项目的招标专职人员情况、采购代理服务方案等内容。</w:t>
      </w:r>
    </w:p>
    <w:p>
      <w:pPr>
        <w:pStyle w:val="5"/>
        <w:widowControl/>
        <w:shd w:val="clear" w:color="auto" w:fill="FFFFFF"/>
        <w:spacing w:beforeAutospacing="0" w:afterAutospacing="0" w:line="570" w:lineRule="exact"/>
        <w:ind w:firstLine="420"/>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lang w:val="en-US" w:eastAsia="zh-CN"/>
        </w:rPr>
        <w:t>三、</w:t>
      </w:r>
      <w:r>
        <w:rPr>
          <w:rFonts w:hint="eastAsia" w:ascii="方正黑体_GBK" w:hAnsi="方正黑体_GBK" w:eastAsia="方正黑体_GBK" w:cs="方正黑体_GBK"/>
          <w:color w:val="auto"/>
          <w:sz w:val="32"/>
          <w:szCs w:val="32"/>
          <w:shd w:val="clear" w:color="auto" w:fill="FFFFFF"/>
        </w:rPr>
        <w:t>总体服务要求：</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4、采购代理服务的主要内容</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4.1.集中采购项目</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4.1.1 为比选人提供采购项目有关法律法规和业务咨询服务；</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4.1.2 依法根据政府采购政策、采购预算、采购需求组织项目需求论证；</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4.1.3 负责配合比选人与集中采购代理机构进行业务沟通；</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4.2.采购项目</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4.2.1 为比选人提供采购项目有关法律法规和业务咨询服务；</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4.2.2 依法根据政府采购政策、采购预算、采购需求，按照采购需求管理办法组织需求调查及编制采购文件；</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4.2.3 依法通过发布采购公告的方式邀请供应商；</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4.2.4 组织开展报名、开标、资格和信用审查、评标等相关工作；</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4.2.5 依法对开标、评审活动同步录音录像并刻盘保存；</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4.2.6 依法发布采购结果公告、质疑投诉举报处理；</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4.2.7 依法向中标/成交供应商发出中标/成交通知书；</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4.2.8 草拟合同，协助合同签订及备案工作（含合同公告）；</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4.2.9 整理、归档采购项目资料。</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4.3.其他相关要求</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4.3.1.实质性要求:服务期内，代理机构安排1名本公司人员对接医院工作。（包括但不限于：代理项目的整个采购流程相关工作、比选人交办的其他工作等服务内容）。</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 xml:space="preserve">4.3.2. 代理机构应接受比选人的监管，按照《中华人民共和国政府采购法》及其实施条例等法律法规规章的规定，以及四川省地方相关规定，对比选人委托的采购项目依法编制采购文件、在政府采购指定平台发布采购信息、代为发放采购文件、提供开标场所，组织项目评审等工作。 </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4.3.3.代理机构在代理采购项目过程中应按规定或约定的时间，以书面形式向比选人通报采购项目进度情况及相关信息。</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4.3.4.代理机构应根据比选人要求编制采购文件，由比选人确认并出具书面确认材料。在采购文件中注明采购项目的评审原则、评审内容、评审标准、评审方法。</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4.3.5.代理机构应在接到比选人委托项目之日起7个工作日内完成采购文件制作、采购项目发布公告挂网等采购程序。因自然灾害或法定事由（质疑、投诉等）等不可抗力导致中选人不能按时完成委托事项，中选人应在该原因发生之日起2日内或无法履行通知义务的原因消除后的2日内通知比选人，并采取必要的补救措施，避免或减轻对比选人造成的损失。</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4.3.6.代理机构应主动协助解决比选人在履行采购合同过程中与供应商产生的纠纷，并积极采取各种措施避免给比选人造成损失，或使损失降低到最低限度。在比选人与供应商协商、仲裁和诉讼过程中中选人应给予配合调查取证、出庭作证等必要的配合。</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4.3.7.代理机构工作人员应对采购项目中涉及的商业秘密以及与采购项目有关的未经比选人书面同意公开的信息负有保密义务，不得将可能影响采购项目公正﹑公平性的信息透露给利害关系人。</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4.3.8.代理机构应按照财政管理部门要求负责整理项目采购过程的全套完整真实资料，并按财政管理部门要求完成采购档案归档和备案工作。</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4.3.9.代理机构在采购代理活动中有以下行为之一的，应及时暂停委托业务并责令其整改。</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①无故不接受比选人委托的采购代理业务，不响应比选人正常的采购代理相关工作要求；</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②不能按协议要求完成受委托的采购代理业务；</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③因自身工作不力，影响比选人采购项目的进度及执行；</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④采购代理过程中出现重大工作失误；</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⑤在所代理的采购项目中为供应商提供咨询、以不合理条件限制或排斥潜在供应商、对潜在供应商实行歧视待遇或限制供应商之间的竞争；</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⑥泄露应当保密的有关情况和资料，伪造、变造、隐匿或者销毁采购代理活动相关文件；</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⑦不按要求提交采购档案资料，或提交的采购档案资料有重大错漏；</w:t>
      </w:r>
    </w:p>
    <w:p>
      <w:pPr>
        <w:pStyle w:val="5"/>
        <w:widowControl/>
        <w:shd w:val="clear" w:color="auto" w:fill="FFFFFF"/>
        <w:spacing w:beforeAutospacing="0" w:afterAutospacing="0" w:line="570" w:lineRule="exact"/>
        <w:ind w:firstLine="420"/>
        <w:rPr>
          <w:rFonts w:hint="eastAsia" w:ascii="Times New Roman" w:hAnsi="Times New Roman" w:eastAsia="方正仿宋_GBK" w:cs="Times New Roman"/>
          <w:color w:val="auto"/>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shd w:val="clear" w:color="auto" w:fill="FFFFFF"/>
          <w:lang w:val="en-US" w:eastAsia="zh-CN" w:bidi="ar"/>
        </w:rPr>
        <w:t>⑧其他违反法律、法规和规章制度的行为。</w:t>
      </w:r>
    </w:p>
    <w:p>
      <w:pPr>
        <w:pStyle w:val="5"/>
        <w:widowControl/>
        <w:shd w:val="clear" w:color="auto" w:fill="FFFFFF"/>
        <w:spacing w:beforeAutospacing="0" w:afterAutospacing="0" w:line="570" w:lineRule="exact"/>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四、投标文件的递交</w:t>
      </w:r>
    </w:p>
    <w:p>
      <w:pPr>
        <w:pStyle w:val="5"/>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1.投标文件应包含：报价表；本公告所列全部文件；</w:t>
      </w:r>
    </w:p>
    <w:p>
      <w:pPr>
        <w:pStyle w:val="5"/>
        <w:widowControl/>
        <w:shd w:val="clear" w:color="auto" w:fill="FFFFFF"/>
        <w:spacing w:beforeAutospacing="0" w:afterAutospacing="0" w:line="570" w:lineRule="exact"/>
        <w:ind w:firstLine="420"/>
        <w:rPr>
          <w:rFonts w:hint="eastAsia" w:ascii="Times New Roman" w:hAnsi="Times New Roman" w:eastAsia="方正仿宋_GBK"/>
          <w:sz w:val="32"/>
          <w:szCs w:val="32"/>
          <w:lang w:val="en-US" w:eastAsia="zh-CN"/>
        </w:rPr>
      </w:pPr>
      <w:r>
        <w:rPr>
          <w:rFonts w:ascii="Times New Roman" w:hAnsi="Times New Roman" w:eastAsia="方正仿宋_GBK"/>
          <w:sz w:val="32"/>
          <w:szCs w:val="32"/>
          <w:shd w:val="clear" w:color="auto" w:fill="FFFFFF"/>
        </w:rPr>
        <w:t>2.投标文件装订要求：A4大小纸张，成本装订并密封</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一式一份。</w:t>
      </w:r>
    </w:p>
    <w:p>
      <w:pPr>
        <w:pStyle w:val="5"/>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3.投标截止时间：202</w:t>
      </w:r>
      <w:r>
        <w:rPr>
          <w:rFonts w:hint="eastAsia" w:ascii="Times New Roman" w:hAnsi="Times New Roman" w:eastAsia="方正仿宋_GBK"/>
          <w:sz w:val="32"/>
          <w:szCs w:val="32"/>
          <w:shd w:val="clear" w:color="auto" w:fill="FFFFFF"/>
          <w:lang w:val="en-US" w:eastAsia="zh-CN"/>
        </w:rPr>
        <w:t>2</w:t>
      </w:r>
      <w:r>
        <w:rPr>
          <w:rFonts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lang w:val="en-US" w:eastAsia="zh-CN"/>
        </w:rPr>
        <w:t>2</w:t>
      </w:r>
      <w:r>
        <w:rPr>
          <w:rFonts w:ascii="Times New Roman" w:hAnsi="Times New Roman" w:eastAsia="方正仿宋_GBK"/>
          <w:sz w:val="32"/>
          <w:szCs w:val="32"/>
          <w:shd w:val="clear" w:color="auto" w:fill="FFFFFF"/>
        </w:rPr>
        <w:t>月</w:t>
      </w:r>
      <w:r>
        <w:rPr>
          <w:rFonts w:hint="eastAsia" w:ascii="Times New Roman" w:hAnsi="Times New Roman" w:eastAsia="方正仿宋_GBK"/>
          <w:sz w:val="32"/>
          <w:szCs w:val="32"/>
          <w:shd w:val="clear" w:color="auto" w:fill="FFFFFF"/>
          <w:lang w:val="en-US" w:eastAsia="zh-CN"/>
        </w:rPr>
        <w:t>23</w:t>
      </w:r>
      <w:r>
        <w:rPr>
          <w:rFonts w:ascii="Times New Roman" w:hAnsi="Times New Roman" w:eastAsia="方正仿宋_GBK"/>
          <w:sz w:val="32"/>
          <w:szCs w:val="32"/>
          <w:shd w:val="clear" w:color="auto" w:fill="FFFFFF"/>
        </w:rPr>
        <w:t>日17:30，投标文件密封送至我院</w:t>
      </w:r>
      <w:r>
        <w:rPr>
          <w:rFonts w:hint="eastAsia" w:ascii="Times New Roman" w:hAnsi="Times New Roman" w:eastAsia="方正仿宋_GBK"/>
          <w:sz w:val="32"/>
          <w:szCs w:val="32"/>
          <w:shd w:val="clear" w:color="auto" w:fill="FFFFFF"/>
          <w:lang w:val="en-US" w:eastAsia="zh-CN"/>
        </w:rPr>
        <w:t>院务部</w:t>
      </w:r>
      <w:r>
        <w:rPr>
          <w:rFonts w:ascii="Times New Roman" w:hAnsi="Times New Roman" w:eastAsia="方正仿宋_GBK"/>
          <w:sz w:val="32"/>
          <w:szCs w:val="32"/>
          <w:shd w:val="clear" w:color="auto" w:fill="FFFFFF"/>
        </w:rPr>
        <w:t>张老师收。</w:t>
      </w:r>
    </w:p>
    <w:p>
      <w:pPr>
        <w:pStyle w:val="5"/>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4.投标文件递交地址：成都市金牛区妇幼保健院（8楼</w:t>
      </w:r>
      <w:r>
        <w:rPr>
          <w:rFonts w:hint="eastAsia" w:ascii="Times New Roman" w:hAnsi="Times New Roman" w:eastAsia="方正仿宋_GBK"/>
          <w:sz w:val="32"/>
          <w:szCs w:val="32"/>
          <w:shd w:val="clear" w:color="auto" w:fill="FFFFFF"/>
          <w:lang w:val="en-US" w:eastAsia="zh-CN"/>
        </w:rPr>
        <w:t>院务部</w:t>
      </w:r>
      <w:r>
        <w:rPr>
          <w:rFonts w:ascii="Times New Roman" w:hAnsi="Times New Roman" w:eastAsia="方正仿宋_GBK"/>
          <w:sz w:val="32"/>
          <w:szCs w:val="32"/>
          <w:shd w:val="clear" w:color="auto" w:fill="FFFFFF"/>
        </w:rPr>
        <w:t>）。</w:t>
      </w:r>
    </w:p>
    <w:p>
      <w:pPr>
        <w:pStyle w:val="5"/>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地址：成都市长月路12号</w:t>
      </w:r>
    </w:p>
    <w:p>
      <w:pPr>
        <w:pStyle w:val="5"/>
        <w:widowControl/>
        <w:shd w:val="clear" w:color="auto" w:fill="FFFFFF"/>
        <w:spacing w:beforeAutospacing="0" w:afterAutospacing="0" w:line="570" w:lineRule="exact"/>
        <w:ind w:firstLine="420"/>
        <w:rPr>
          <w:rFonts w:hint="eastAsia" w:ascii="Times New Roman" w:hAnsi="Times New Roman" w:eastAsia="方正仿宋_GBK"/>
          <w:sz w:val="32"/>
          <w:szCs w:val="32"/>
          <w:lang w:eastAsia="zh-CN"/>
        </w:rPr>
      </w:pPr>
      <w:r>
        <w:rPr>
          <w:rFonts w:ascii="Times New Roman" w:hAnsi="Times New Roman" w:eastAsia="方正仿宋_GBK"/>
          <w:sz w:val="32"/>
          <w:szCs w:val="32"/>
          <w:shd w:val="clear" w:color="auto" w:fill="FFFFFF"/>
        </w:rPr>
        <w:t>联系人：张</w:t>
      </w:r>
      <w:r>
        <w:rPr>
          <w:rFonts w:hint="eastAsia" w:ascii="Times New Roman" w:hAnsi="Times New Roman" w:eastAsia="方正仿宋_GBK"/>
          <w:sz w:val="32"/>
          <w:szCs w:val="32"/>
          <w:shd w:val="clear" w:color="auto" w:fill="FFFFFF"/>
          <w:lang w:val="en-US" w:eastAsia="zh-CN"/>
        </w:rPr>
        <w:t>老师</w:t>
      </w:r>
    </w:p>
    <w:p>
      <w:pPr>
        <w:pStyle w:val="5"/>
        <w:widowControl/>
        <w:shd w:val="clear" w:color="auto" w:fill="FFFFFF"/>
        <w:spacing w:beforeAutospacing="0" w:afterAutospacing="0" w:line="570" w:lineRule="exact"/>
        <w:ind w:firstLine="420"/>
        <w:rPr>
          <w:rFonts w:hint="eastAsia" w:ascii="黑体" w:hAnsi="Cambria" w:eastAsia="黑体" w:cs="Times New Roman"/>
          <w:bCs/>
          <w:kern w:val="0"/>
          <w:sz w:val="32"/>
          <w:szCs w:val="32"/>
        </w:rPr>
      </w:pPr>
      <w:r>
        <w:rPr>
          <w:rFonts w:ascii="Times New Roman" w:hAnsi="Times New Roman" w:eastAsia="方正仿宋_GBK"/>
          <w:sz w:val="32"/>
          <w:szCs w:val="32"/>
          <w:shd w:val="clear" w:color="auto" w:fill="FFFFFF"/>
        </w:rPr>
        <w:t>电话：028-68938000</w:t>
      </w:r>
      <w:bookmarkStart w:id="0" w:name="_Toc89849504"/>
    </w:p>
    <w:p>
      <w:pPr>
        <w:keepNext/>
        <w:keepLines/>
        <w:pageBreakBefore w:val="0"/>
        <w:widowControl w:val="0"/>
        <w:kinsoku/>
        <w:wordWrap/>
        <w:overflowPunct/>
        <w:topLinePunct w:val="0"/>
        <w:autoSpaceDE/>
        <w:autoSpaceDN/>
        <w:bidi w:val="0"/>
        <w:adjustRightInd w:val="0"/>
        <w:snapToGrid w:val="0"/>
        <w:spacing w:line="240" w:lineRule="auto"/>
        <w:jc w:val="both"/>
        <w:textAlignment w:val="auto"/>
        <w:outlineLvl w:val="1"/>
        <w:rPr>
          <w:rFonts w:hint="eastAsia" w:ascii="黑体" w:hAnsi="Cambria" w:eastAsia="黑体" w:cs="Times New Roman"/>
          <w:bCs/>
          <w:kern w:val="0"/>
          <w:sz w:val="32"/>
          <w:szCs w:val="32"/>
          <w:lang w:val="en-US" w:eastAsia="zh-CN"/>
        </w:rPr>
      </w:pPr>
    </w:p>
    <w:p>
      <w:pPr>
        <w:pStyle w:val="2"/>
        <w:pageBreakBefore w:val="0"/>
        <w:widowControl w:val="0"/>
        <w:kinsoku/>
        <w:wordWrap/>
        <w:overflowPunct/>
        <w:topLinePunct w:val="0"/>
        <w:autoSpaceDE/>
        <w:autoSpaceDN/>
        <w:bidi w:val="0"/>
        <w:spacing w:line="240" w:lineRule="auto"/>
        <w:textAlignment w:val="auto"/>
        <w:rPr>
          <w:rFonts w:hint="eastAsia" w:ascii="黑体" w:hAnsi="Cambria" w:eastAsia="黑体" w:cs="Times New Roman"/>
          <w:bCs/>
          <w:kern w:val="0"/>
          <w:sz w:val="32"/>
          <w:szCs w:val="32"/>
          <w:lang w:val="en-US" w:eastAsia="zh-CN"/>
        </w:rPr>
      </w:pPr>
    </w:p>
    <w:p>
      <w:pPr>
        <w:keepNext/>
        <w:keepLines/>
        <w:pageBreakBefore w:val="0"/>
        <w:widowControl w:val="0"/>
        <w:kinsoku/>
        <w:wordWrap/>
        <w:overflowPunct/>
        <w:topLinePunct w:val="0"/>
        <w:autoSpaceDE/>
        <w:autoSpaceDN/>
        <w:bidi w:val="0"/>
        <w:adjustRightInd w:val="0"/>
        <w:snapToGrid w:val="0"/>
        <w:spacing w:line="240" w:lineRule="auto"/>
        <w:jc w:val="both"/>
        <w:textAlignment w:val="auto"/>
        <w:outlineLvl w:val="1"/>
        <w:rPr>
          <w:rFonts w:hint="eastAsia" w:ascii="黑体" w:hAnsi="Cambria" w:eastAsia="黑体" w:cs="Times New Roman"/>
          <w:bCs/>
          <w:kern w:val="0"/>
          <w:sz w:val="32"/>
          <w:szCs w:val="32"/>
          <w:lang w:val="en-US" w:eastAsia="zh-CN"/>
        </w:rPr>
      </w:pPr>
    </w:p>
    <w:p>
      <w:pPr>
        <w:pStyle w:val="2"/>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pStyle w:val="3"/>
        <w:pageBreakBefore w:val="0"/>
        <w:widowControl w:val="0"/>
        <w:kinsoku/>
        <w:wordWrap/>
        <w:overflowPunct/>
        <w:topLinePunct w:val="0"/>
        <w:autoSpaceDE/>
        <w:autoSpaceDN/>
        <w:bidi w:val="0"/>
        <w:spacing w:line="240" w:lineRule="auto"/>
        <w:textAlignment w:val="auto"/>
        <w:rPr>
          <w:rFonts w:hint="eastAsia"/>
          <w:lang w:val="en-US" w:eastAsia="zh-CN"/>
        </w:rPr>
      </w:pPr>
    </w:p>
    <w:p>
      <w:pPr>
        <w:keepNext/>
        <w:keepLines/>
        <w:pageBreakBefore w:val="0"/>
        <w:widowControl w:val="0"/>
        <w:kinsoku/>
        <w:wordWrap/>
        <w:overflowPunct/>
        <w:topLinePunct w:val="0"/>
        <w:bidi w:val="0"/>
        <w:adjustRightInd w:val="0"/>
        <w:snapToGrid w:val="0"/>
        <w:spacing w:line="415" w:lineRule="auto"/>
        <w:jc w:val="both"/>
        <w:textAlignment w:val="auto"/>
        <w:outlineLvl w:val="1"/>
        <w:rPr>
          <w:rFonts w:hint="eastAsia" w:ascii="黑体" w:hAnsi="Cambria" w:eastAsia="黑体" w:cs="Times New Roman"/>
          <w:bCs/>
          <w:kern w:val="0"/>
          <w:sz w:val="32"/>
          <w:szCs w:val="32"/>
          <w:lang w:val="en-US" w:eastAsia="zh-CN"/>
        </w:rPr>
      </w:pPr>
    </w:p>
    <w:p>
      <w:pPr>
        <w:keepNext/>
        <w:keepLines/>
        <w:pageBreakBefore w:val="0"/>
        <w:widowControl w:val="0"/>
        <w:kinsoku/>
        <w:wordWrap/>
        <w:overflowPunct/>
        <w:topLinePunct w:val="0"/>
        <w:bidi w:val="0"/>
        <w:adjustRightInd w:val="0"/>
        <w:snapToGrid w:val="0"/>
        <w:spacing w:line="415" w:lineRule="auto"/>
        <w:jc w:val="both"/>
        <w:textAlignment w:val="auto"/>
        <w:outlineLvl w:val="1"/>
        <w:rPr>
          <w:rFonts w:hint="eastAsia" w:ascii="黑体" w:hAnsi="Cambria" w:eastAsia="黑体" w:cs="Times New Roman"/>
          <w:bCs/>
          <w:kern w:val="0"/>
          <w:sz w:val="32"/>
          <w:szCs w:val="32"/>
          <w:lang w:val="en-US" w:eastAsia="zh-CN"/>
        </w:rPr>
      </w:pPr>
      <w:r>
        <w:rPr>
          <w:rFonts w:hint="eastAsia" w:ascii="黑体" w:hAnsi="Cambria" w:eastAsia="黑体" w:cs="Times New Roman"/>
          <w:bCs/>
          <w:kern w:val="0"/>
          <w:sz w:val="32"/>
          <w:szCs w:val="32"/>
          <w:lang w:val="en-US" w:eastAsia="zh-CN"/>
        </w:rPr>
        <w:t>相关附件：</w:t>
      </w:r>
    </w:p>
    <w:p>
      <w:pPr>
        <w:keepNext/>
        <w:keepLines/>
        <w:pageBreakBefore w:val="0"/>
        <w:widowControl w:val="0"/>
        <w:kinsoku/>
        <w:wordWrap/>
        <w:overflowPunct/>
        <w:topLinePunct w:val="0"/>
        <w:bidi w:val="0"/>
        <w:adjustRightInd w:val="0"/>
        <w:snapToGrid w:val="0"/>
        <w:spacing w:line="415" w:lineRule="auto"/>
        <w:jc w:val="both"/>
        <w:textAlignment w:val="auto"/>
        <w:outlineLvl w:val="1"/>
        <w:rPr>
          <w:rFonts w:ascii="黑体" w:hAnsi="Cambria" w:eastAsia="黑体" w:cs="宋体"/>
          <w:bCs/>
          <w:kern w:val="0"/>
          <w:sz w:val="24"/>
          <w:szCs w:val="32"/>
        </w:rPr>
      </w:pPr>
      <w:r>
        <w:rPr>
          <w:rFonts w:hint="eastAsia" w:ascii="黑体" w:hAnsi="Cambria" w:eastAsia="黑体" w:cs="Times New Roman"/>
          <w:bCs/>
          <w:kern w:val="0"/>
          <w:sz w:val="32"/>
          <w:szCs w:val="32"/>
        </w:rPr>
        <w:t>1、法定代表人授权书</w:t>
      </w:r>
      <w:bookmarkEnd w:id="0"/>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本授权委托书声明：我 </w:t>
      </w:r>
      <w:r>
        <w:rPr>
          <w:rFonts w:hint="eastAsia" w:ascii="仿宋_GB2312" w:hAnsi="宋体" w:eastAsia="仿宋_GB2312" w:cs="仿宋_GB2312"/>
          <w:kern w:val="0"/>
          <w:sz w:val="28"/>
          <w:szCs w:val="28"/>
          <w:u w:val="single"/>
        </w:rPr>
        <w:t xml:space="preserve">（姓名） </w:t>
      </w:r>
      <w:r>
        <w:rPr>
          <w:rFonts w:hint="eastAsia" w:ascii="仿宋_GB2312" w:hAnsi="宋体" w:eastAsia="仿宋_GB2312" w:cs="仿宋_GB2312"/>
          <w:kern w:val="0"/>
          <w:sz w:val="28"/>
          <w:szCs w:val="28"/>
        </w:rPr>
        <w:t>系</w:t>
      </w:r>
      <w:r>
        <w:rPr>
          <w:rFonts w:hint="eastAsia" w:ascii="仿宋_GB2312" w:hAnsi="宋体" w:eastAsia="仿宋_GB2312" w:cs="仿宋_GB2312"/>
          <w:kern w:val="0"/>
          <w:sz w:val="28"/>
          <w:szCs w:val="28"/>
          <w:u w:val="single"/>
        </w:rPr>
        <w:t xml:space="preserve"> （比选申请人名称） </w:t>
      </w:r>
      <w:r>
        <w:rPr>
          <w:rFonts w:hint="eastAsia" w:ascii="仿宋_GB2312" w:hAnsi="宋体" w:eastAsia="仿宋_GB2312" w:cs="仿宋_GB2312"/>
          <w:kern w:val="0"/>
          <w:sz w:val="28"/>
          <w:szCs w:val="28"/>
        </w:rPr>
        <w:t>的法定代表人，现授权</w:t>
      </w:r>
      <w:r>
        <w:rPr>
          <w:rFonts w:hint="eastAsia" w:ascii="仿宋_GB2312" w:hAnsi="宋体" w:eastAsia="仿宋_GB2312" w:cs="仿宋_GB2312"/>
          <w:kern w:val="0"/>
          <w:sz w:val="28"/>
          <w:szCs w:val="28"/>
          <w:u w:val="single"/>
        </w:rPr>
        <w:t xml:space="preserve"> （姓名） </w:t>
      </w:r>
      <w:r>
        <w:rPr>
          <w:rFonts w:hint="eastAsia" w:ascii="仿宋_GB2312" w:hAnsi="宋体" w:eastAsia="仿宋_GB2312" w:cs="仿宋_GB2312"/>
          <w:kern w:val="0"/>
          <w:sz w:val="28"/>
          <w:szCs w:val="28"/>
        </w:rPr>
        <w:t>为我单位委托代理人，  以本单位的名义参加</w:t>
      </w:r>
      <w:r>
        <w:rPr>
          <w:rFonts w:hint="eastAsia" w:ascii="仿宋_GB2312" w:hAnsi="宋体" w:eastAsia="仿宋_GB2312" w:cs="仿宋_GB2312"/>
          <w:kern w:val="0"/>
          <w:sz w:val="28"/>
          <w:szCs w:val="28"/>
          <w:u w:val="single"/>
        </w:rPr>
        <w:t xml:space="preserve">                               项目</w:t>
      </w:r>
      <w:r>
        <w:rPr>
          <w:rFonts w:hint="eastAsia" w:ascii="仿宋_GB2312" w:hAnsi="宋体" w:eastAsia="仿宋_GB2312" w:cs="仿宋_GB2312"/>
          <w:kern w:val="0"/>
          <w:sz w:val="28"/>
          <w:szCs w:val="28"/>
        </w:rPr>
        <w:t>的比选活动。委托代理人在比选活动和评比、谈判以及合同签订过程中所签署的一切文件和处理与之有关的一切事务，我及我单位均予以承认，并全部承担其产生的所有权利和义务。</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委托代理人无转委托权。特此委托。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_GB2312" w:hAnsi="宋体" w:eastAsia="仿宋_GB2312" w:cs="仿宋_GB2312"/>
          <w:kern w:val="0"/>
          <w:sz w:val="28"/>
          <w:szCs w:val="28"/>
        </w:rPr>
      </w:pP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_GB2312" w:hAnsi="宋体" w:eastAsia="仿宋_GB2312" w:cs="仿宋_GB2312"/>
          <w:kern w:val="0"/>
          <w:sz w:val="28"/>
          <w:szCs w:val="28"/>
        </w:rPr>
      </w:pP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仿宋_GB2312" w:hAnsi="宋体" w:eastAsia="仿宋_GB2312" w:cs="仿宋_GB2312"/>
          <w:kern w:val="0"/>
          <w:sz w:val="28"/>
          <w:szCs w:val="28"/>
        </w:rPr>
      </w:pP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授权人(法定代表人):</w:t>
      </w:r>
      <w:r>
        <w:rPr>
          <w:rFonts w:hint="eastAsia" w:ascii="仿宋_GB2312" w:hAnsi="宋体" w:eastAsia="仿宋_GB2312" w:cs="仿宋_GB2312"/>
          <w:kern w:val="0"/>
          <w:sz w:val="28"/>
          <w:szCs w:val="28"/>
          <w:u w:val="single"/>
        </w:rPr>
        <w:t xml:space="preserve">    （签字）   </w:t>
      </w:r>
      <w:r>
        <w:rPr>
          <w:rFonts w:hint="eastAsia" w:ascii="仿宋_GB2312" w:hAnsi="宋体" w:eastAsia="仿宋_GB2312" w:cs="仿宋_GB2312"/>
          <w:kern w:val="0"/>
          <w:sz w:val="28"/>
          <w:szCs w:val="28"/>
        </w:rPr>
        <w:t xml:space="preserve">    联系电话：</w:t>
      </w:r>
      <w:r>
        <w:rPr>
          <w:rFonts w:hint="eastAsia" w:ascii="仿宋_GB2312" w:hAnsi="宋体" w:eastAsia="仿宋_GB2312" w:cs="仿宋_GB2312"/>
          <w:kern w:val="0"/>
          <w:sz w:val="28"/>
          <w:szCs w:val="28"/>
          <w:u w:val="single"/>
        </w:rPr>
        <w:t xml:space="preserve">              </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w:t>
      </w:r>
      <w:r>
        <w:rPr>
          <w:rFonts w:hint="eastAsia" w:ascii="仿宋_GB2312" w:hAnsi="宋体" w:eastAsia="仿宋_GB2312" w:cs="仿宋_GB2312"/>
          <w:kern w:val="0"/>
          <w:sz w:val="28"/>
          <w:szCs w:val="28"/>
          <w:u w:val="single"/>
        </w:rPr>
        <w:t xml:space="preserve"> （签字）             </w:t>
      </w:r>
      <w:r>
        <w:rPr>
          <w:rFonts w:hint="eastAsia" w:ascii="仿宋_GB2312" w:hAnsi="宋体" w:eastAsia="仿宋_GB2312" w:cs="仿宋_GB2312"/>
          <w:kern w:val="0"/>
          <w:sz w:val="28"/>
          <w:szCs w:val="28"/>
        </w:rPr>
        <w:t xml:space="preserve">    手    机：</w:t>
      </w:r>
      <w:r>
        <w:rPr>
          <w:rFonts w:hint="eastAsia" w:ascii="仿宋_GB2312" w:hAnsi="宋体" w:eastAsia="仿宋_GB2312" w:cs="仿宋_GB2312"/>
          <w:kern w:val="0"/>
          <w:sz w:val="28"/>
          <w:szCs w:val="28"/>
          <w:u w:val="single"/>
        </w:rPr>
        <w:t xml:space="preserve">              </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委托代理人部门：</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职    务：</w:t>
      </w:r>
      <w:r>
        <w:rPr>
          <w:rFonts w:hint="eastAsia" w:ascii="仿宋_GB2312" w:hAnsi="宋体" w:eastAsia="仿宋_GB2312" w:cs="仿宋_GB2312"/>
          <w:kern w:val="0"/>
          <w:sz w:val="28"/>
          <w:szCs w:val="28"/>
          <w:u w:val="single"/>
        </w:rPr>
        <w:t xml:space="preserve">              </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单位电话：</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传    真：</w:t>
      </w:r>
      <w:r>
        <w:rPr>
          <w:rFonts w:hint="eastAsia" w:ascii="仿宋_GB2312" w:hAnsi="宋体" w:eastAsia="仿宋_GB2312" w:cs="仿宋_GB2312"/>
          <w:kern w:val="0"/>
          <w:sz w:val="28"/>
          <w:szCs w:val="28"/>
          <w:u w:val="single"/>
        </w:rPr>
        <w:t xml:space="preserve">              </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_GB2312" w:hAnsi="宋体" w:eastAsia="仿宋_GB2312" w:cs="仿宋_GB2312"/>
          <w:kern w:val="0"/>
          <w:sz w:val="28"/>
          <w:szCs w:val="28"/>
          <w:u w:val="single"/>
        </w:rPr>
      </w:pPr>
      <w:r>
        <w:rPr>
          <w:rFonts w:hint="eastAsia" w:ascii="仿宋_GB2312" w:hAnsi="宋体" w:eastAsia="仿宋_GB2312" w:cs="仿宋_GB2312"/>
          <w:kern w:val="0"/>
          <w:sz w:val="28"/>
          <w:szCs w:val="28"/>
        </w:rPr>
        <w:t>比选申请人：</w:t>
      </w:r>
      <w:r>
        <w:rPr>
          <w:rFonts w:hint="eastAsia" w:ascii="仿宋_GB2312" w:hAnsi="宋体" w:eastAsia="仿宋_GB2312" w:cs="仿宋_GB2312"/>
          <w:kern w:val="0"/>
          <w:sz w:val="28"/>
          <w:szCs w:val="28"/>
          <w:u w:val="single"/>
        </w:rPr>
        <w:t xml:space="preserve">（全称并加盖企业法人公章）                        </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日期：</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年</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月</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日</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仿宋_GB2312" w:hAnsi="宋体" w:eastAsia="仿宋_GB2312" w:cs="仿宋_GB2312"/>
          <w:kern w:val="0"/>
          <w:sz w:val="28"/>
          <w:szCs w:val="28"/>
        </w:rPr>
      </w:pPr>
    </w:p>
    <w:p>
      <w:pPr>
        <w:pageBreakBefore w:val="0"/>
        <w:widowControl w:val="0"/>
        <w:kinsoku/>
        <w:wordWrap/>
        <w:overflowPunct/>
        <w:topLinePunct w:val="0"/>
        <w:bidi w:val="0"/>
        <w:adjustRightInd w:val="0"/>
        <w:snapToGrid w:val="0"/>
        <w:spacing w:line="360" w:lineRule="auto"/>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（须附法定代表人和委托代理人身份证复印件）</w:t>
      </w:r>
    </w:p>
    <w:p>
      <w:pPr>
        <w:adjustRightInd w:val="0"/>
        <w:snapToGrid w:val="0"/>
        <w:spacing w:line="360" w:lineRule="auto"/>
        <w:rPr>
          <w:rFonts w:ascii="仿宋_GB2312" w:hAnsi="宋体" w:eastAsia="仿宋_GB2312" w:cs="仿宋_GB2312"/>
          <w:kern w:val="0"/>
          <w:sz w:val="28"/>
          <w:szCs w:val="28"/>
        </w:rPr>
      </w:pPr>
    </w:p>
    <w:p>
      <w:pPr>
        <w:adjustRightInd w:val="0"/>
        <w:snapToGrid w:val="0"/>
        <w:spacing w:line="360" w:lineRule="auto"/>
        <w:rPr>
          <w:rFonts w:ascii="仿宋_GB2312" w:hAnsi="宋体" w:eastAsia="仿宋_GB2312" w:cs="仿宋_GB2312"/>
          <w:kern w:val="0"/>
          <w:sz w:val="28"/>
          <w:szCs w:val="28"/>
        </w:rPr>
      </w:pPr>
    </w:p>
    <w:p>
      <w:pPr>
        <w:adjustRightInd w:val="0"/>
        <w:snapToGrid w:val="0"/>
        <w:spacing w:line="360" w:lineRule="auto"/>
        <w:rPr>
          <w:rFonts w:ascii="仿宋_GB2312" w:hAnsi="宋体" w:eastAsia="仿宋_GB2312" w:cs="仿宋_GB2312"/>
          <w:kern w:val="0"/>
          <w:sz w:val="28"/>
          <w:szCs w:val="28"/>
        </w:rPr>
      </w:pPr>
    </w:p>
    <w:p>
      <w:pPr>
        <w:adjustRightInd w:val="0"/>
        <w:snapToGrid w:val="0"/>
        <w:spacing w:line="360" w:lineRule="auto"/>
        <w:rPr>
          <w:rFonts w:ascii="仿宋_GB2312" w:hAnsi="宋体" w:eastAsia="仿宋_GB2312" w:cs="仿宋_GB2312"/>
          <w:kern w:val="0"/>
          <w:sz w:val="28"/>
          <w:szCs w:val="28"/>
        </w:rPr>
      </w:pPr>
    </w:p>
    <w:p>
      <w:pPr>
        <w:keepNext/>
        <w:keepLines/>
        <w:adjustRightInd w:val="0"/>
        <w:snapToGrid w:val="0"/>
        <w:spacing w:before="260" w:after="260" w:line="415" w:lineRule="auto"/>
        <w:jc w:val="center"/>
        <w:outlineLvl w:val="1"/>
        <w:rPr>
          <w:rFonts w:ascii="黑体" w:hAnsi="Cambria" w:eastAsia="黑体" w:cs="Times New Roman"/>
          <w:bCs/>
          <w:sz w:val="32"/>
          <w:szCs w:val="32"/>
        </w:rPr>
      </w:pPr>
      <w:bookmarkStart w:id="1" w:name="_Toc89849505"/>
      <w:r>
        <w:rPr>
          <w:rFonts w:hint="eastAsia" w:ascii="黑体" w:hAnsi="Cambria" w:eastAsia="黑体" w:cs="Times New Roman"/>
          <w:bCs/>
          <w:sz w:val="32"/>
          <w:szCs w:val="32"/>
        </w:rPr>
        <w:t>2、报价单格式（需单独封装）</w:t>
      </w:r>
      <w:bookmarkEnd w:id="1"/>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致：</w:t>
      </w:r>
      <w:r>
        <w:rPr>
          <w:rFonts w:hint="eastAsia" w:ascii="仿宋_GB2312" w:hAnsi="华文仿宋" w:eastAsia="仿宋_GB2312" w:cs="Times New Roman"/>
          <w:sz w:val="28"/>
          <w:szCs w:val="28"/>
          <w:u w:val="single"/>
        </w:rPr>
        <w:t xml:space="preserve">                          </w:t>
      </w:r>
    </w:p>
    <w:p>
      <w:pPr>
        <w:widowControl/>
        <w:adjustRightInd w:val="0"/>
        <w:snapToGrid w:val="0"/>
        <w:spacing w:line="360" w:lineRule="auto"/>
        <w:ind w:firstLine="555"/>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我公司仔细研究了比选文件的基本情况，根据本公司的实际情况，本公司的报价为：</w:t>
      </w:r>
    </w:p>
    <w:p>
      <w:pPr>
        <w:widowControl/>
        <w:adjustRightInd w:val="0"/>
        <w:snapToGrid w:val="0"/>
        <w:spacing w:line="360" w:lineRule="auto"/>
        <w:ind w:firstLine="555"/>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 xml:space="preserve">按下表收费标准下浮 </w:t>
      </w:r>
      <w:r>
        <w:rPr>
          <w:rFonts w:hint="eastAsia" w:ascii="仿宋_GB2312" w:hAnsi="华文仿宋" w:eastAsia="仿宋_GB2312" w:cs="Times New Roman"/>
          <w:sz w:val="28"/>
          <w:szCs w:val="28"/>
          <w:u w:val="single"/>
        </w:rPr>
        <w:t xml:space="preserve">      </w:t>
      </w:r>
      <w:r>
        <w:rPr>
          <w:rFonts w:hint="eastAsia" w:ascii="仿宋_GB2312" w:hAnsi="华文仿宋" w:eastAsia="仿宋_GB2312" w:cs="Times New Roman"/>
          <w:sz w:val="28"/>
          <w:szCs w:val="28"/>
        </w:rPr>
        <w:t>％收取中标（成交）供应商招标代理服务费。</w:t>
      </w:r>
    </w:p>
    <w:tbl>
      <w:tblPr>
        <w:tblStyle w:val="6"/>
        <w:tblW w:w="8360"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2584"/>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194"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 w:val="15"/>
                <w:szCs w:val="15"/>
              </w:rPr>
            </w:pPr>
            <w:r>
              <w:rPr>
                <w:rFonts w:hint="eastAsia" w:ascii="Calibri" w:hAnsi="Calibri" w:eastAsia="宋体" w:cs="Times New Roman"/>
                <w:b/>
                <w:sz w:val="15"/>
                <w:szCs w:val="15"/>
              </w:rPr>
              <w:t>服务类型</w:t>
            </w:r>
          </w:p>
          <w:p>
            <w:pPr>
              <w:snapToGrid w:val="0"/>
              <w:rPr>
                <w:rFonts w:ascii="Calibri" w:hAnsi="Calibri" w:eastAsia="宋体" w:cs="Times New Roman"/>
                <w:b/>
                <w:sz w:val="15"/>
                <w:szCs w:val="15"/>
              </w:rPr>
            </w:pPr>
            <w:r>
              <w:rPr>
                <w:rFonts w:hint="eastAsia" w:ascii="Calibri" w:hAnsi="Calibri" w:eastAsia="宋体" w:cs="Times New Roman"/>
                <w:b/>
                <w:sz w:val="15"/>
                <w:szCs w:val="15"/>
              </w:rPr>
              <w:t>费率</w:t>
            </w:r>
          </w:p>
          <w:p>
            <w:pPr>
              <w:snapToGrid w:val="0"/>
              <w:rPr>
                <w:rFonts w:ascii="Calibri" w:hAnsi="Calibri" w:eastAsia="宋体" w:cs="Times New Roman"/>
                <w:b/>
                <w:sz w:val="15"/>
                <w:szCs w:val="15"/>
              </w:rPr>
            </w:pPr>
            <w:r>
              <w:rPr>
                <w:rFonts w:hint="eastAsia" w:ascii="Calibri" w:hAnsi="Calibri" w:eastAsia="宋体" w:cs="Times New Roman"/>
                <w:b/>
                <w:sz w:val="15"/>
                <w:szCs w:val="15"/>
              </w:rPr>
              <w:t>中标金额（万元）</w:t>
            </w:r>
          </w:p>
        </w:tc>
        <w:tc>
          <w:tcPr>
            <w:tcW w:w="25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sz w:val="15"/>
                <w:szCs w:val="15"/>
              </w:rPr>
            </w:pPr>
            <w:r>
              <w:rPr>
                <w:rFonts w:hint="eastAsia" w:ascii="Calibri" w:hAnsi="Calibri" w:eastAsia="宋体" w:cs="Times New Roman"/>
                <w:b/>
                <w:sz w:val="15"/>
                <w:szCs w:val="15"/>
              </w:rPr>
              <w:t>货物招标</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sz w:val="15"/>
                <w:szCs w:val="15"/>
              </w:rPr>
            </w:pPr>
            <w:r>
              <w:rPr>
                <w:rFonts w:hint="eastAsia" w:ascii="Calibri" w:hAnsi="Calibri" w:eastAsia="宋体" w:cs="Times New Roman"/>
                <w:b/>
                <w:sz w:val="15"/>
                <w:szCs w:val="15"/>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w:t>
            </w:r>
            <w:r>
              <w:rPr>
                <w:rFonts w:hint="eastAsia" w:ascii="Calibri" w:hAnsi="Calibri" w:eastAsia="宋体" w:cs="Times New Roman"/>
                <w:szCs w:val="22"/>
              </w:rPr>
              <w:t>以下</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100-500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1.1%</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500-1000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0.8%</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1000-5000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5000-10000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0.25%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10000-100000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1000000</w:t>
            </w:r>
            <w:r>
              <w:rPr>
                <w:rFonts w:hint="eastAsia" w:ascii="Calibri" w:hAnsi="Calibri" w:eastAsia="宋体" w:cs="Times New Roman"/>
                <w:szCs w:val="22"/>
              </w:rPr>
              <w:t>以上</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0.01%</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0.01%</w:t>
            </w:r>
          </w:p>
        </w:tc>
      </w:tr>
    </w:tbl>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bookmarkStart w:id="2" w:name="_Hlk11701387"/>
      <w:r>
        <w:rPr>
          <w:rFonts w:hint="eastAsia" w:ascii="仿宋_GB2312" w:hAnsi="宋体" w:eastAsia="仿宋_GB2312" w:cs="仿宋_GB2312"/>
          <w:kern w:val="0"/>
          <w:sz w:val="28"/>
          <w:szCs w:val="28"/>
        </w:rPr>
        <w:t>比选申请人</w:t>
      </w:r>
      <w:bookmarkEnd w:id="2"/>
      <w:r>
        <w:rPr>
          <w:rFonts w:hint="eastAsia" w:ascii="仿宋_GB2312" w:hAnsi="宋体" w:eastAsia="仿宋_GB2312" w:cs="仿宋_GB2312"/>
          <w:kern w:val="0"/>
          <w:sz w:val="28"/>
          <w:szCs w:val="28"/>
        </w:rPr>
        <w:t>（全称并加盖单位公章）</w:t>
      </w:r>
      <w:r>
        <w:rPr>
          <w:rFonts w:hint="eastAsia" w:ascii="仿宋_GB2312" w:hAnsi="华文仿宋" w:eastAsia="仿宋_GB2312" w:cs="Times New Roman"/>
          <w:sz w:val="28"/>
          <w:szCs w:val="28"/>
        </w:rPr>
        <w:t>：</w:t>
      </w:r>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bookmarkStart w:id="3" w:name="_Hlk11701404"/>
      <w:r>
        <w:rPr>
          <w:rFonts w:hint="eastAsia" w:ascii="仿宋_GB2312" w:hAnsi="华文仿宋" w:eastAsia="仿宋_GB2312" w:cs="Times New Roman"/>
          <w:sz w:val="28"/>
          <w:szCs w:val="28"/>
        </w:rPr>
        <w:t>法定代表人或委托代理人签字：</w:t>
      </w:r>
      <w:bookmarkEnd w:id="3"/>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 xml:space="preserve">                                         年     月     日</w:t>
      </w:r>
    </w:p>
    <w:p>
      <w:pPr>
        <w:keepNext/>
        <w:keepLines/>
        <w:adjustRightInd w:val="0"/>
        <w:snapToGrid w:val="0"/>
        <w:spacing w:before="260" w:after="260" w:line="415" w:lineRule="auto"/>
        <w:jc w:val="center"/>
        <w:outlineLvl w:val="1"/>
        <w:rPr>
          <w:rFonts w:ascii="黑体" w:hAnsi="Cambria" w:eastAsia="黑体" w:cs="Times New Roman"/>
          <w:bCs/>
          <w:sz w:val="32"/>
          <w:szCs w:val="32"/>
        </w:rPr>
      </w:pPr>
      <w:r>
        <w:rPr>
          <w:rFonts w:ascii="Cambria" w:hAnsi="Cambria" w:eastAsia="宋体" w:cs="Times New Roman"/>
          <w:b/>
          <w:bCs/>
          <w:sz w:val="32"/>
          <w:szCs w:val="32"/>
        </w:rPr>
        <w:br w:type="page"/>
      </w:r>
      <w:bookmarkStart w:id="4" w:name="_Toc89849506"/>
      <w:r>
        <w:rPr>
          <w:rFonts w:hint="eastAsia" w:ascii="Cambria" w:hAnsi="Cambria" w:eastAsia="宋体" w:cs="Times New Roman"/>
          <w:b/>
          <w:bCs/>
          <w:sz w:val="32"/>
          <w:szCs w:val="32"/>
        </w:rPr>
        <w:t>3、</w:t>
      </w:r>
      <w:r>
        <w:rPr>
          <w:rFonts w:hint="eastAsia" w:ascii="黑体" w:hAnsi="Cambria" w:eastAsia="黑体" w:cs="Times New Roman"/>
          <w:bCs/>
          <w:sz w:val="32"/>
          <w:szCs w:val="32"/>
        </w:rPr>
        <w:t>采购代理服务的主要内容响应表</w:t>
      </w:r>
      <w:bookmarkEnd w:id="4"/>
    </w:p>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（注：自行编写）</w:t>
      </w:r>
    </w:p>
    <w:p>
      <w:pPr>
        <w:widowControl w:val="0"/>
        <w:spacing w:after="120"/>
        <w:jc w:val="both"/>
        <w:rPr>
          <w:rFonts w:ascii="Calibri" w:hAnsi="Calibri" w:eastAsia="宋体" w:cs="Times New Roman"/>
          <w:kern w:val="2"/>
          <w:sz w:val="21"/>
          <w:szCs w:val="22"/>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jc w:val="both"/>
        <w:rPr>
          <w:rFonts w:ascii="宋体" w:hAnsi="Courier New" w:eastAsia="宋体" w:cs="Courier New"/>
          <w:kern w:val="2"/>
          <w:sz w:val="21"/>
          <w:szCs w:val="21"/>
          <w:lang w:val="en-US" w:eastAsia="zh-CN" w:bidi="ar-SA"/>
        </w:rPr>
      </w:pPr>
    </w:p>
    <w:p>
      <w:pPr>
        <w:widowControl w:val="0"/>
        <w:spacing w:after="120"/>
        <w:jc w:val="both"/>
        <w:rPr>
          <w:rFonts w:ascii="Calibri" w:hAnsi="Calibri" w:eastAsia="宋体" w:cs="Times New Roman"/>
          <w:kern w:val="2"/>
          <w:sz w:val="21"/>
          <w:szCs w:val="22"/>
          <w:lang w:val="en-US" w:eastAsia="zh-CN" w:bidi="ar-SA"/>
        </w:rPr>
      </w:pPr>
    </w:p>
    <w:p>
      <w:pPr>
        <w:keepNext/>
        <w:keepLines/>
        <w:adjustRightInd w:val="0"/>
        <w:snapToGrid w:val="0"/>
        <w:spacing w:before="260" w:after="260" w:line="415" w:lineRule="auto"/>
        <w:jc w:val="center"/>
        <w:outlineLvl w:val="1"/>
        <w:rPr>
          <w:rFonts w:ascii="黑体" w:hAnsi="Cambria" w:eastAsia="黑体" w:cs="Times New Roman"/>
          <w:bCs/>
          <w:sz w:val="32"/>
          <w:szCs w:val="32"/>
        </w:rPr>
      </w:pPr>
      <w:bookmarkStart w:id="5" w:name="_Toc89849507"/>
      <w:r>
        <w:rPr>
          <w:rFonts w:hint="eastAsia" w:ascii="黑体" w:hAnsi="Cambria" w:eastAsia="黑体" w:cs="Times New Roman"/>
          <w:bCs/>
          <w:sz w:val="32"/>
          <w:szCs w:val="32"/>
        </w:rPr>
        <w:t>4、比选申请人组织结构及资格信息</w:t>
      </w:r>
      <w:bookmarkEnd w:id="5"/>
    </w:p>
    <w:p>
      <w:pPr>
        <w:rPr>
          <w:rFonts w:ascii="Times New Roman" w:hAnsi="Times New Roman" w:eastAsia="宋体" w:cs="Times New Roman"/>
          <w:b/>
          <w:szCs w:val="22"/>
        </w:rPr>
      </w:pPr>
      <w:r>
        <w:rPr>
          <w:rFonts w:hint="eastAsia" w:ascii="Times New Roman" w:hAnsi="Times New Roman" w:eastAsia="宋体" w:cs="Times New Roman"/>
          <w:b/>
          <w:szCs w:val="22"/>
        </w:rPr>
        <w:t>（1）基本情况表：</w:t>
      </w:r>
    </w:p>
    <w:p>
      <w:pPr>
        <w:rPr>
          <w:rFonts w:ascii="Times New Roman" w:hAnsi="Times New Roman" w:eastAsia="宋体" w:cs="Times New Roman"/>
          <w:b/>
          <w:szCs w:val="22"/>
        </w:rPr>
      </w:pPr>
    </w:p>
    <w:tbl>
      <w:tblPr>
        <w:tblStyle w:val="6"/>
        <w:tblW w:w="9108" w:type="dxa"/>
        <w:tblInd w:w="0" w:type="dxa"/>
        <w:tblLayout w:type="fixed"/>
        <w:tblCellMar>
          <w:top w:w="0" w:type="dxa"/>
          <w:left w:w="108" w:type="dxa"/>
          <w:bottom w:w="0" w:type="dxa"/>
          <w:right w:w="108" w:type="dxa"/>
        </w:tblCellMar>
      </w:tblPr>
      <w:tblGrid>
        <w:gridCol w:w="1718"/>
        <w:gridCol w:w="966"/>
        <w:gridCol w:w="664"/>
        <w:gridCol w:w="1440"/>
        <w:gridCol w:w="1924"/>
        <w:gridCol w:w="922"/>
        <w:gridCol w:w="1474"/>
      </w:tblGrid>
      <w:tr>
        <w:tblPrEx>
          <w:tblLayout w:type="fixed"/>
          <w:tblCellMar>
            <w:top w:w="0" w:type="dxa"/>
            <w:left w:w="108" w:type="dxa"/>
            <w:bottom w:w="0" w:type="dxa"/>
            <w:right w:w="108" w:type="dxa"/>
          </w:tblCellMar>
        </w:tblPrEx>
        <w:trPr>
          <w:trHeight w:val="650" w:hRule="atLeast"/>
        </w:trPr>
        <w:tc>
          <w:tcPr>
            <w:tcW w:w="171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 w:val="24"/>
                <w:szCs w:val="22"/>
              </w:rPr>
            </w:pPr>
            <w:r>
              <w:rPr>
                <w:rFonts w:hint="eastAsia" w:ascii="宋体" w:hAnsi="宋体" w:eastAsia="宋体" w:cs="宋体"/>
                <w:spacing w:val="2"/>
                <w:kern w:val="0"/>
                <w:sz w:val="24"/>
                <w:szCs w:val="22"/>
              </w:rPr>
              <w:t>比选申请人</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kern w:val="0"/>
                <w:sz w:val="24"/>
                <w:szCs w:val="22"/>
              </w:rPr>
              <w:t>（名称）</w:t>
            </w:r>
          </w:p>
        </w:tc>
      </w:tr>
      <w:tr>
        <w:tblPrEx>
          <w:tblLayout w:type="fixed"/>
          <w:tblCellMar>
            <w:top w:w="0" w:type="dxa"/>
            <w:left w:w="108" w:type="dxa"/>
            <w:bottom w:w="0" w:type="dxa"/>
            <w:right w:w="108" w:type="dxa"/>
          </w:tblCellMar>
        </w:tblPrEx>
        <w:trPr>
          <w:trHeight w:val="596" w:hRule="atLeast"/>
        </w:trPr>
        <w:tc>
          <w:tcPr>
            <w:tcW w:w="171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pacing w:val="2"/>
                <w:kern w:val="0"/>
                <w:sz w:val="24"/>
                <w:szCs w:val="22"/>
              </w:rPr>
            </w:pPr>
            <w:r>
              <w:rPr>
                <w:rFonts w:hint="eastAsia" w:ascii="宋体" w:hAnsi="宋体" w:eastAsia="宋体" w:cs="宋体"/>
                <w:spacing w:val="2"/>
                <w:kern w:val="0"/>
                <w:sz w:val="24"/>
                <w:szCs w:val="22"/>
              </w:rPr>
              <w:t>注册地址</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trHeight w:val="610" w:hRule="atLeast"/>
        </w:trPr>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4"/>
                <w:szCs w:val="22"/>
              </w:rPr>
            </w:pPr>
            <w:r>
              <w:rPr>
                <w:rFonts w:hint="eastAsia" w:ascii="宋体" w:hAnsi="宋体" w:eastAsia="宋体" w:cs="宋体"/>
                <w:spacing w:val="2"/>
                <w:kern w:val="0"/>
                <w:sz w:val="24"/>
                <w:szCs w:val="22"/>
              </w:rPr>
              <w:t>法定代表人</w:t>
            </w:r>
          </w:p>
          <w:p>
            <w:pPr>
              <w:ind w:left="-90"/>
              <w:jc w:val="center"/>
              <w:rPr>
                <w:rFonts w:ascii="宋体" w:hAnsi="宋体" w:eastAsia="宋体" w:cs="宋体"/>
                <w:sz w:val="24"/>
                <w:szCs w:val="22"/>
              </w:rPr>
            </w:pPr>
            <w:r>
              <w:rPr>
                <w:rFonts w:hint="eastAsia" w:ascii="宋体" w:hAnsi="宋体" w:eastAsia="宋体" w:cs="宋体"/>
                <w:spacing w:val="2"/>
                <w:kern w:val="0"/>
                <w:sz w:val="24"/>
                <w:szCs w:val="22"/>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trHeight w:val="604" w:hRule="atLeast"/>
        </w:trPr>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4"/>
                <w:szCs w:val="22"/>
              </w:rPr>
            </w:pPr>
            <w:r>
              <w:rPr>
                <w:rFonts w:hint="eastAsia" w:ascii="宋体" w:hAnsi="宋体" w:eastAsia="宋体" w:cs="宋体"/>
                <w:spacing w:val="2"/>
                <w:kern w:val="0"/>
                <w:sz w:val="24"/>
                <w:szCs w:val="22"/>
              </w:rPr>
              <w:t>技术负责人</w:t>
            </w:r>
          </w:p>
          <w:p>
            <w:pPr>
              <w:ind w:left="-90"/>
              <w:jc w:val="center"/>
              <w:rPr>
                <w:rFonts w:ascii="宋体" w:hAnsi="宋体" w:eastAsia="宋体" w:cs="宋体"/>
                <w:sz w:val="24"/>
                <w:szCs w:val="22"/>
              </w:rPr>
            </w:pPr>
            <w:r>
              <w:rPr>
                <w:rFonts w:hint="eastAsia" w:ascii="宋体" w:hAnsi="宋体" w:eastAsia="宋体" w:cs="宋体"/>
                <w:spacing w:val="2"/>
                <w:kern w:val="0"/>
                <w:sz w:val="24"/>
                <w:szCs w:val="22"/>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trHeight w:val="536" w:hRule="atLeast"/>
        </w:trPr>
        <w:tc>
          <w:tcPr>
            <w:tcW w:w="1718"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企业资质等级</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资格证书编号</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trHeight w:val="600" w:hRule="atLeast"/>
        </w:trPr>
        <w:tc>
          <w:tcPr>
            <w:tcW w:w="1718"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pacing w:val="2"/>
                <w:kern w:val="0"/>
                <w:sz w:val="24"/>
                <w:szCs w:val="22"/>
              </w:rPr>
            </w:pPr>
            <w:r>
              <w:rPr>
                <w:rFonts w:hint="eastAsia" w:ascii="宋体" w:hAnsi="宋体" w:eastAsia="宋体" w:cs="宋体"/>
                <w:spacing w:val="2"/>
                <w:kern w:val="0"/>
                <w:sz w:val="24"/>
                <w:szCs w:val="22"/>
              </w:rPr>
              <w:t>营业执照号</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pacing w:val="2"/>
                <w:kern w:val="0"/>
                <w:sz w:val="24"/>
                <w:szCs w:val="22"/>
              </w:rPr>
            </w:pPr>
            <w:r>
              <w:rPr>
                <w:rFonts w:hint="eastAsia" w:ascii="宋体" w:hAnsi="宋体" w:eastAsia="宋体" w:cs="宋体"/>
                <w:spacing w:val="2"/>
                <w:kern w:val="0"/>
                <w:sz w:val="24"/>
                <w:szCs w:val="22"/>
              </w:rPr>
              <w:t>注册资本金</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trHeight w:val="608" w:hRule="atLeast"/>
        </w:trPr>
        <w:tc>
          <w:tcPr>
            <w:tcW w:w="1718"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pacing w:val="2"/>
                <w:kern w:val="0"/>
                <w:sz w:val="24"/>
                <w:szCs w:val="22"/>
              </w:rPr>
            </w:pPr>
            <w:r>
              <w:rPr>
                <w:rFonts w:hint="eastAsia" w:ascii="宋体" w:hAnsi="宋体" w:eastAsia="宋体" w:cs="宋体"/>
                <w:spacing w:val="2"/>
                <w:kern w:val="0"/>
                <w:sz w:val="24"/>
                <w:szCs w:val="22"/>
              </w:rPr>
              <w:t>基本账户银行</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pacing w:val="2"/>
                <w:kern w:val="0"/>
                <w:sz w:val="24"/>
                <w:szCs w:val="22"/>
              </w:rPr>
            </w:pPr>
            <w:r>
              <w:rPr>
                <w:rFonts w:hint="eastAsia" w:ascii="宋体" w:hAnsi="宋体" w:eastAsia="宋体" w:cs="宋体"/>
                <w:spacing w:val="2"/>
                <w:kern w:val="0"/>
                <w:sz w:val="24"/>
                <w:szCs w:val="22"/>
              </w:rPr>
              <w:t>账号</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cantSplit/>
          <w:trHeight w:val="602" w:hRule="atLeast"/>
        </w:trPr>
        <w:tc>
          <w:tcPr>
            <w:tcW w:w="1718" w:type="dxa"/>
            <w:vMerge w:val="restart"/>
            <w:tcBorders>
              <w:top w:val="single" w:color="auto" w:sz="6" w:space="0"/>
              <w:left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联系方式</w:t>
            </w: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联系人</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电话</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cantSplit/>
          <w:trHeight w:val="516" w:hRule="atLeast"/>
        </w:trPr>
        <w:tc>
          <w:tcPr>
            <w:tcW w:w="1718" w:type="dxa"/>
            <w:vMerge w:val="continue"/>
            <w:tcBorders>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传  真</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电子信箱</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p>
        </w:tc>
      </w:tr>
      <w:tr>
        <w:tblPrEx>
          <w:tblLayout w:type="fixed"/>
          <w:tblCellMar>
            <w:top w:w="0" w:type="dxa"/>
            <w:left w:w="108" w:type="dxa"/>
            <w:bottom w:w="0" w:type="dxa"/>
            <w:right w:w="108" w:type="dxa"/>
          </w:tblCellMar>
        </w:tblPrEx>
        <w:trPr>
          <w:cantSplit/>
          <w:trHeight w:val="1471" w:hRule="atLeast"/>
        </w:trPr>
        <w:tc>
          <w:tcPr>
            <w:tcW w:w="1718" w:type="dxa"/>
            <w:tcBorders>
              <w:top w:val="single" w:color="auto" w:sz="6" w:space="0"/>
              <w:left w:val="single" w:color="auto" w:sz="6"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经营范围</w:t>
            </w:r>
          </w:p>
        </w:tc>
        <w:tc>
          <w:tcPr>
            <w:tcW w:w="7390" w:type="dxa"/>
            <w:gridSpan w:val="6"/>
            <w:tcBorders>
              <w:top w:val="single" w:color="auto" w:sz="6" w:space="0"/>
              <w:left w:val="single" w:color="auto" w:sz="6" w:space="0"/>
              <w:right w:val="single" w:color="auto" w:sz="6" w:space="0"/>
            </w:tcBorders>
            <w:vAlign w:val="center"/>
          </w:tcPr>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tc>
      </w:tr>
      <w:tr>
        <w:tblPrEx>
          <w:tblLayout w:type="fixed"/>
          <w:tblCellMar>
            <w:top w:w="0" w:type="dxa"/>
            <w:left w:w="108" w:type="dxa"/>
            <w:bottom w:w="0" w:type="dxa"/>
            <w:right w:w="108" w:type="dxa"/>
          </w:tblCellMar>
        </w:tblPrEx>
        <w:trPr>
          <w:cantSplit/>
          <w:trHeight w:val="1222" w:hRule="atLeast"/>
        </w:trPr>
        <w:tc>
          <w:tcPr>
            <w:tcW w:w="1718" w:type="dxa"/>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ascii="宋体" w:hAnsi="宋体" w:eastAsia="宋体" w:cs="宋体"/>
                <w:sz w:val="24"/>
                <w:szCs w:val="22"/>
              </w:rPr>
            </w:pPr>
            <w:r>
              <w:rPr>
                <w:rFonts w:hint="eastAsia" w:ascii="宋体" w:hAnsi="宋体" w:eastAsia="宋体" w:cs="宋体"/>
                <w:spacing w:val="2"/>
                <w:kern w:val="0"/>
                <w:sz w:val="24"/>
                <w:szCs w:val="22"/>
              </w:rPr>
              <w:t>备注</w:t>
            </w:r>
          </w:p>
        </w:tc>
        <w:tc>
          <w:tcPr>
            <w:tcW w:w="7390" w:type="dxa"/>
            <w:gridSpan w:val="6"/>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ascii="宋体" w:hAnsi="宋体" w:eastAsia="宋体" w:cs="宋体"/>
                <w:sz w:val="24"/>
                <w:szCs w:val="22"/>
              </w:rPr>
            </w:pPr>
          </w:p>
        </w:tc>
      </w:tr>
    </w:tbl>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注：在本页后应附相关资质复印件（加盖鲜章）</w:t>
      </w:r>
    </w:p>
    <w:p>
      <w:pPr>
        <w:jc w:val="center"/>
        <w:rPr>
          <w:rFonts w:ascii="仿宋_GB2312" w:hAnsi="Times New Roman" w:eastAsia="仿宋_GB2312" w:cs="Times New Roman"/>
          <w:sz w:val="24"/>
          <w:szCs w:val="22"/>
        </w:rPr>
      </w:pPr>
    </w:p>
    <w:p>
      <w:pPr>
        <w:jc w:val="center"/>
        <w:rPr>
          <w:rFonts w:ascii="仿宋_GB2312" w:hAnsi="Times New Roman" w:eastAsia="仿宋_GB2312" w:cs="Times New Roman"/>
          <w:sz w:val="24"/>
          <w:szCs w:val="22"/>
        </w:rPr>
      </w:pPr>
    </w:p>
    <w:p>
      <w:pPr>
        <w:jc w:val="center"/>
        <w:rPr>
          <w:rFonts w:ascii="仿宋_GB2312" w:hAnsi="Times New Roman" w:eastAsia="仿宋_GB2312" w:cs="Times New Roman"/>
          <w:sz w:val="24"/>
          <w:szCs w:val="22"/>
        </w:rPr>
      </w:pPr>
    </w:p>
    <w:p>
      <w:pPr>
        <w:jc w:val="center"/>
        <w:rPr>
          <w:rFonts w:ascii="仿宋_GB2312" w:hAnsi="Times New Roman" w:eastAsia="仿宋_GB2312" w:cs="Times New Roman"/>
          <w:sz w:val="24"/>
          <w:szCs w:val="22"/>
        </w:rPr>
      </w:pPr>
    </w:p>
    <w:p>
      <w:pPr>
        <w:widowControl w:val="0"/>
        <w:spacing w:after="120"/>
        <w:jc w:val="both"/>
        <w:rPr>
          <w:rFonts w:ascii="Calibri" w:hAnsi="Calibri" w:eastAsia="宋体" w:cs="Times New Roman"/>
          <w:kern w:val="2"/>
          <w:sz w:val="21"/>
          <w:szCs w:val="22"/>
          <w:lang w:val="en-US" w:eastAsia="zh-CN" w:bidi="ar-SA"/>
        </w:rPr>
      </w:pPr>
    </w:p>
    <w:p>
      <w:pPr>
        <w:jc w:val="center"/>
        <w:rPr>
          <w:rFonts w:ascii="仿宋_GB2312" w:hAnsi="Times New Roman" w:eastAsia="仿宋_GB2312" w:cs="Times New Roman"/>
          <w:sz w:val="24"/>
          <w:szCs w:val="22"/>
        </w:rPr>
      </w:pPr>
    </w:p>
    <w:p>
      <w:pPr>
        <w:jc w:val="center"/>
        <w:rPr>
          <w:rFonts w:ascii="仿宋_GB2312" w:hAnsi="Times New Roman" w:eastAsia="仿宋_GB2312" w:cs="Times New Roman"/>
          <w:sz w:val="24"/>
          <w:szCs w:val="22"/>
        </w:rPr>
      </w:pPr>
    </w:p>
    <w:p>
      <w:pPr>
        <w:jc w:val="center"/>
        <w:rPr>
          <w:rFonts w:ascii="仿宋_GB2312" w:hAnsi="Times New Roman" w:eastAsia="仿宋_GB2312" w:cs="Times New Roman"/>
          <w:sz w:val="24"/>
          <w:szCs w:val="22"/>
        </w:rPr>
      </w:pPr>
    </w:p>
    <w:p>
      <w:pPr>
        <w:jc w:val="center"/>
        <w:rPr>
          <w:rFonts w:ascii="仿宋_GB2312" w:hAnsi="Times New Roman" w:eastAsia="仿宋_GB2312" w:cs="Times New Roman"/>
          <w:sz w:val="24"/>
          <w:szCs w:val="22"/>
        </w:rPr>
      </w:pPr>
    </w:p>
    <w:p>
      <w:pPr>
        <w:jc w:val="left"/>
        <w:rPr>
          <w:rFonts w:ascii="仿宋_GB2312" w:hAnsi="Times New Roman" w:eastAsia="仿宋_GB2312" w:cs="Times New Roman"/>
          <w:b/>
          <w:sz w:val="24"/>
          <w:szCs w:val="22"/>
        </w:rPr>
      </w:pPr>
      <w:r>
        <w:rPr>
          <w:rFonts w:hint="eastAsia" w:ascii="仿宋_GB2312" w:hAnsi="Times New Roman" w:eastAsia="仿宋_GB2312" w:cs="Times New Roman"/>
          <w:b/>
          <w:sz w:val="24"/>
          <w:szCs w:val="22"/>
        </w:rPr>
        <w:t>（2）资格信息</w:t>
      </w:r>
    </w:p>
    <w:p>
      <w:pPr>
        <w:jc w:val="left"/>
        <w:rPr>
          <w:rFonts w:ascii="仿宋_GB2312" w:hAnsi="Times New Roman" w:eastAsia="仿宋_GB2312" w:cs="Times New Roman"/>
          <w:b/>
          <w:sz w:val="24"/>
          <w:szCs w:val="22"/>
        </w:rPr>
      </w:pPr>
      <w:r>
        <w:rPr>
          <w:rFonts w:hint="eastAsia" w:ascii="仿宋_GB2312" w:hAnsi="Times New Roman" w:eastAsia="仿宋_GB2312" w:cs="Times New Roman"/>
          <w:b/>
          <w:sz w:val="24"/>
          <w:szCs w:val="22"/>
        </w:rPr>
        <w:t>A:提供“统一社会信用代码营业执照” 复印件（需加盖鲜章）；未换证的提供“营业执照、税务登记证、组织机构代码证或三证合一的营业执照” 复印件（需加盖鲜章）；</w:t>
      </w:r>
    </w:p>
    <w:p>
      <w:pPr>
        <w:jc w:val="left"/>
        <w:rPr>
          <w:rFonts w:ascii="仿宋_GB2312" w:hAnsi="Times New Roman" w:eastAsia="仿宋_GB2312" w:cs="Times New Roman"/>
          <w:b/>
          <w:sz w:val="24"/>
          <w:szCs w:val="22"/>
        </w:rPr>
      </w:pPr>
      <w:r>
        <w:rPr>
          <w:rFonts w:hint="eastAsia" w:ascii="仿宋_GB2312" w:hAnsi="Times New Roman" w:eastAsia="仿宋_GB2312" w:cs="Times New Roman"/>
          <w:b/>
          <w:sz w:val="24"/>
          <w:szCs w:val="22"/>
        </w:rPr>
        <w:t>B:</w:t>
      </w:r>
      <w:r>
        <w:rPr>
          <w:rFonts w:ascii="仿宋_GB2312" w:hAnsi="Times New Roman" w:eastAsia="仿宋_GB2312" w:cs="Times New Roman"/>
          <w:b/>
          <w:sz w:val="24"/>
          <w:szCs w:val="22"/>
        </w:rPr>
        <w:t>提供四川政府</w:t>
      </w:r>
      <w:r>
        <w:rPr>
          <w:rFonts w:hint="eastAsia" w:ascii="仿宋_GB2312" w:hAnsi="Times New Roman" w:eastAsia="仿宋_GB2312" w:cs="Times New Roman"/>
          <w:b/>
          <w:sz w:val="24"/>
          <w:szCs w:val="22"/>
        </w:rPr>
        <w:t>采购</w:t>
      </w:r>
      <w:r>
        <w:rPr>
          <w:rFonts w:ascii="仿宋_GB2312" w:hAnsi="Times New Roman" w:eastAsia="仿宋_GB2312" w:cs="Times New Roman"/>
          <w:b/>
          <w:sz w:val="24"/>
          <w:szCs w:val="22"/>
        </w:rPr>
        <w:t>网中的代理机构栏目的网上登记名单截图和代理机构详细信息截图</w:t>
      </w:r>
      <w:r>
        <w:rPr>
          <w:rFonts w:hint="eastAsia" w:ascii="仿宋_GB2312" w:hAnsi="Times New Roman" w:eastAsia="仿宋_GB2312" w:cs="Times New Roman"/>
          <w:b/>
          <w:sz w:val="24"/>
          <w:szCs w:val="22"/>
        </w:rPr>
        <w:t>（需加盖鲜章）</w:t>
      </w:r>
    </w:p>
    <w:p>
      <w:pPr>
        <w:widowControl w:val="0"/>
        <w:spacing w:after="120"/>
        <w:jc w:val="both"/>
        <w:rPr>
          <w:rFonts w:ascii="Calibri" w:hAnsi="Calibri" w:eastAsia="宋体" w:cs="Times New Roman"/>
          <w:kern w:val="2"/>
          <w:sz w:val="21"/>
          <w:szCs w:val="22"/>
          <w:lang w:val="en-US" w:eastAsia="zh-CN" w:bidi="ar-SA"/>
        </w:rPr>
      </w:pPr>
      <w:r>
        <w:rPr>
          <w:rFonts w:hint="eastAsia" w:ascii="仿宋_GB2312" w:hAnsi="Times New Roman" w:eastAsia="仿宋_GB2312" w:cs="Times New Roman"/>
          <w:b/>
          <w:kern w:val="2"/>
          <w:sz w:val="24"/>
          <w:szCs w:val="22"/>
          <w:lang w:val="en-US" w:eastAsia="zh-CN" w:bidi="ar-SA"/>
        </w:rPr>
        <w:t>C:</w:t>
      </w:r>
      <w:r>
        <w:rPr>
          <w:rFonts w:hint="eastAsia" w:ascii="Calibri" w:hAnsi="Calibri" w:eastAsia="宋体" w:cs="Times New Roman"/>
          <w:kern w:val="2"/>
          <w:sz w:val="21"/>
          <w:szCs w:val="22"/>
          <w:lang w:val="en-US" w:eastAsia="zh-CN" w:bidi="ar-SA"/>
        </w:rPr>
        <w:t xml:space="preserve"> </w:t>
      </w:r>
      <w:r>
        <w:rPr>
          <w:rFonts w:hint="eastAsia" w:ascii="仿宋_GB2312" w:hAnsi="Times New Roman" w:eastAsia="仿宋_GB2312" w:cs="Times New Roman"/>
          <w:b/>
          <w:kern w:val="2"/>
          <w:sz w:val="24"/>
          <w:szCs w:val="22"/>
          <w:lang w:val="en-US" w:eastAsia="zh-CN" w:bidi="ar-SA"/>
        </w:rPr>
        <w:t>参加本次比选活动前三年内在经营活动中没有重大违法记录的承诺函（格式自拟，需加盖鲜章）；</w:t>
      </w:r>
    </w:p>
    <w:p>
      <w:pPr>
        <w:jc w:val="left"/>
        <w:rPr>
          <w:rFonts w:ascii="仿宋_GB2312" w:hAnsi="Times New Roman" w:eastAsia="仿宋_GB2312" w:cs="Times New Roman"/>
          <w:b/>
          <w:sz w:val="24"/>
          <w:szCs w:val="22"/>
        </w:rPr>
      </w:pPr>
      <w:r>
        <w:rPr>
          <w:rFonts w:hint="eastAsia" w:ascii="黑体" w:hAnsi="Times New Roman" w:eastAsia="黑体" w:cs="Times New Roman"/>
          <w:b/>
          <w:szCs w:val="22"/>
        </w:rPr>
        <w:br w:type="page"/>
      </w:r>
      <w:r>
        <w:rPr>
          <w:rFonts w:hint="eastAsia" w:ascii="仿宋_GB2312" w:hAnsi="Times New Roman" w:eastAsia="仿宋_GB2312" w:cs="Times New Roman"/>
          <w:b/>
          <w:sz w:val="24"/>
          <w:szCs w:val="22"/>
        </w:rPr>
        <w:t>（3）场地信息</w:t>
      </w:r>
    </w:p>
    <w:p>
      <w:pPr>
        <w:jc w:val="left"/>
        <w:rPr>
          <w:rFonts w:ascii="仿宋_GB2312" w:hAnsi="Times New Roman" w:eastAsia="仿宋_GB2312" w:cs="Times New Roman"/>
          <w:b/>
          <w:sz w:val="24"/>
          <w:szCs w:val="22"/>
        </w:rPr>
      </w:pPr>
      <w:r>
        <w:rPr>
          <w:rFonts w:hint="eastAsia" w:ascii="仿宋_GB2312" w:hAnsi="Times New Roman" w:eastAsia="仿宋_GB2312" w:cs="Times New Roman"/>
          <w:b/>
          <w:sz w:val="24"/>
          <w:szCs w:val="22"/>
        </w:rPr>
        <w:t>A:</w:t>
      </w:r>
      <w:r>
        <w:rPr>
          <w:rFonts w:ascii="仿宋_GB2312" w:hAnsi="Times New Roman" w:eastAsia="仿宋_GB2312" w:cs="Times New Roman"/>
          <w:b/>
          <w:sz w:val="24"/>
          <w:szCs w:val="22"/>
        </w:rPr>
        <w:t>提供</w:t>
      </w:r>
      <w:r>
        <w:rPr>
          <w:rFonts w:hint="eastAsia" w:ascii="仿宋_GB2312" w:hAnsi="Times New Roman" w:eastAsia="仿宋_GB2312" w:cs="Times New Roman"/>
          <w:b/>
          <w:sz w:val="24"/>
          <w:szCs w:val="22"/>
        </w:rPr>
        <w:t>招标</w:t>
      </w:r>
      <w:r>
        <w:rPr>
          <w:rFonts w:ascii="仿宋_GB2312" w:hAnsi="Times New Roman" w:eastAsia="仿宋_GB2312" w:cs="Times New Roman"/>
          <w:b/>
          <w:sz w:val="24"/>
          <w:szCs w:val="22"/>
        </w:rPr>
        <w:t>项目开标评标所</w:t>
      </w:r>
      <w:r>
        <w:rPr>
          <w:rFonts w:hint="eastAsia" w:ascii="仿宋_GB2312" w:hAnsi="Times New Roman" w:eastAsia="仿宋_GB2312" w:cs="Times New Roman"/>
          <w:b/>
          <w:sz w:val="24"/>
          <w:szCs w:val="22"/>
        </w:rPr>
        <w:t>在</w:t>
      </w:r>
      <w:r>
        <w:rPr>
          <w:rFonts w:ascii="仿宋_GB2312" w:hAnsi="Times New Roman" w:eastAsia="仿宋_GB2312" w:cs="Times New Roman"/>
          <w:b/>
          <w:sz w:val="24"/>
          <w:szCs w:val="22"/>
        </w:rPr>
        <w:t>地的房产证</w:t>
      </w:r>
      <w:r>
        <w:rPr>
          <w:rFonts w:hint="eastAsia" w:ascii="仿宋_GB2312" w:hAnsi="Times New Roman" w:eastAsia="仿宋_GB2312" w:cs="Times New Roman"/>
          <w:b/>
          <w:sz w:val="24"/>
          <w:szCs w:val="22"/>
        </w:rPr>
        <w:t>/不动产权证</w:t>
      </w:r>
      <w:r>
        <w:rPr>
          <w:rFonts w:ascii="仿宋_GB2312" w:hAnsi="Times New Roman" w:eastAsia="仿宋_GB2312" w:cs="Times New Roman"/>
          <w:b/>
          <w:sz w:val="24"/>
          <w:szCs w:val="22"/>
        </w:rPr>
        <w:t>复印件或租房合同</w:t>
      </w:r>
      <w:r>
        <w:rPr>
          <w:rFonts w:hint="eastAsia" w:ascii="仿宋_GB2312" w:hAnsi="Times New Roman" w:eastAsia="仿宋_GB2312" w:cs="Times New Roman"/>
          <w:b/>
          <w:sz w:val="24"/>
          <w:szCs w:val="22"/>
        </w:rPr>
        <w:t>；</w:t>
      </w:r>
    </w:p>
    <w:p>
      <w:pPr>
        <w:jc w:val="left"/>
        <w:rPr>
          <w:rFonts w:ascii="仿宋_GB2312" w:hAnsi="Times New Roman" w:eastAsia="仿宋_GB2312" w:cs="Times New Roman"/>
          <w:b/>
          <w:sz w:val="24"/>
          <w:szCs w:val="22"/>
        </w:rPr>
      </w:pPr>
      <w:r>
        <w:rPr>
          <w:rFonts w:hint="eastAsia" w:ascii="仿宋_GB2312" w:hAnsi="Times New Roman" w:eastAsia="仿宋_GB2312" w:cs="Times New Roman"/>
          <w:b/>
          <w:sz w:val="24"/>
          <w:szCs w:val="22"/>
        </w:rPr>
        <w:t>B:提供固定营业场所、开评标场地、档案管理等场地及监控录音录像及门禁设施设备等</w:t>
      </w:r>
      <w:r>
        <w:rPr>
          <w:rFonts w:ascii="仿宋_GB2312" w:hAnsi="Times New Roman" w:eastAsia="仿宋_GB2312" w:cs="Times New Roman"/>
          <w:b/>
          <w:sz w:val="24"/>
          <w:szCs w:val="22"/>
        </w:rPr>
        <w:t>的照片</w:t>
      </w:r>
      <w:r>
        <w:rPr>
          <w:rFonts w:hint="eastAsia" w:ascii="仿宋_GB2312" w:hAnsi="Times New Roman" w:eastAsia="仿宋_GB2312" w:cs="Times New Roman"/>
          <w:b/>
          <w:sz w:val="24"/>
          <w:szCs w:val="22"/>
        </w:rPr>
        <w:t>。</w:t>
      </w: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keepNext/>
        <w:keepLines/>
        <w:spacing w:before="260" w:after="260" w:line="416" w:lineRule="auto"/>
        <w:jc w:val="center"/>
        <w:outlineLvl w:val="1"/>
        <w:rPr>
          <w:rFonts w:ascii="黑体" w:hAnsi="Cambria" w:eastAsia="黑体" w:cs="Times New Roman"/>
          <w:bCs/>
          <w:sz w:val="32"/>
          <w:szCs w:val="32"/>
        </w:rPr>
      </w:pPr>
      <w:bookmarkStart w:id="6" w:name="_Toc89849508"/>
      <w:r>
        <w:rPr>
          <w:rFonts w:hint="eastAsia" w:ascii="黑体" w:hAnsi="Cambria" w:eastAsia="黑体" w:cs="Times New Roman"/>
          <w:bCs/>
          <w:sz w:val="32"/>
          <w:szCs w:val="32"/>
        </w:rPr>
        <w:t>5、</w:t>
      </w:r>
      <w:bookmarkStart w:id="7" w:name="_Hlk11702476"/>
      <w:r>
        <w:rPr>
          <w:rFonts w:hint="eastAsia" w:ascii="黑体" w:hAnsi="Cambria" w:eastAsia="黑体" w:cs="Times New Roman"/>
          <w:bCs/>
          <w:sz w:val="32"/>
          <w:szCs w:val="32"/>
        </w:rPr>
        <w:t>招标代理机构简介及荣誉</w:t>
      </w:r>
      <w:bookmarkEnd w:id="6"/>
      <w:bookmarkEnd w:id="7"/>
    </w:p>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（注：自行编写）</w:t>
      </w:r>
    </w:p>
    <w:p>
      <w:pPr>
        <w:widowControl w:val="0"/>
        <w:spacing w:after="120"/>
        <w:jc w:val="both"/>
        <w:rPr>
          <w:rFonts w:ascii="Calibri" w:hAnsi="Calibri" w:eastAsia="宋体" w:cs="Times New Roman"/>
          <w:kern w:val="2"/>
          <w:sz w:val="21"/>
          <w:szCs w:val="22"/>
          <w:lang w:val="en-US" w:eastAsia="zh-CN" w:bidi="ar-SA"/>
        </w:rPr>
      </w:pPr>
    </w:p>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br w:type="page"/>
      </w:r>
    </w:p>
    <w:p>
      <w:pPr>
        <w:keepNext/>
        <w:keepLines/>
        <w:spacing w:before="260" w:after="260" w:line="416" w:lineRule="auto"/>
        <w:jc w:val="center"/>
        <w:outlineLvl w:val="1"/>
        <w:rPr>
          <w:rFonts w:ascii="黑体" w:hAnsi="Cambria" w:eastAsia="黑体" w:cs="Times New Roman"/>
          <w:bCs/>
          <w:sz w:val="32"/>
          <w:szCs w:val="32"/>
        </w:rPr>
      </w:pPr>
      <w:bookmarkStart w:id="8" w:name="_Toc89849509"/>
      <w:r>
        <w:rPr>
          <w:rFonts w:hint="eastAsia" w:ascii="黑体" w:hAnsi="Cambria" w:eastAsia="黑体" w:cs="Times New Roman"/>
          <w:bCs/>
          <w:sz w:val="32"/>
          <w:szCs w:val="32"/>
        </w:rPr>
        <w:t>6、代理采购业绩</w:t>
      </w:r>
      <w:bookmarkEnd w:id="8"/>
    </w:p>
    <w:p>
      <w:pPr>
        <w:jc w:val="center"/>
        <w:rPr>
          <w:rFonts w:ascii="黑体" w:hAnsi="Times New Roman" w:eastAsia="黑体" w:cs="Times New Roman"/>
          <w:b/>
          <w:szCs w:val="22"/>
        </w:rPr>
      </w:pPr>
    </w:p>
    <w:tbl>
      <w:tblPr>
        <w:tblStyle w:val="6"/>
        <w:tblW w:w="9485" w:type="dxa"/>
        <w:jc w:val="center"/>
        <w:tblInd w:w="0" w:type="dxa"/>
        <w:tblLayout w:type="fixed"/>
        <w:tblCellMar>
          <w:top w:w="0" w:type="dxa"/>
          <w:left w:w="108" w:type="dxa"/>
          <w:bottom w:w="0" w:type="dxa"/>
          <w:right w:w="108" w:type="dxa"/>
        </w:tblCellMar>
      </w:tblPr>
      <w:tblGrid>
        <w:gridCol w:w="686"/>
        <w:gridCol w:w="1371"/>
        <w:gridCol w:w="2260"/>
        <w:gridCol w:w="1275"/>
        <w:gridCol w:w="1104"/>
        <w:gridCol w:w="2789"/>
      </w:tblGrid>
      <w:tr>
        <w:tblPrEx>
          <w:tblLayout w:type="fixed"/>
          <w:tblCellMar>
            <w:top w:w="0" w:type="dxa"/>
            <w:left w:w="108" w:type="dxa"/>
            <w:bottom w:w="0" w:type="dxa"/>
            <w:right w:w="108" w:type="dxa"/>
          </w:tblCellMar>
        </w:tblPrEx>
        <w:trPr>
          <w:trHeight w:val="572" w:hRule="atLeast"/>
          <w:jc w:val="center"/>
        </w:trPr>
        <w:tc>
          <w:tcPr>
            <w:tcW w:w="6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序号</w:t>
            </w:r>
          </w:p>
        </w:tc>
        <w:tc>
          <w:tcPr>
            <w:tcW w:w="137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委托方</w:t>
            </w:r>
          </w:p>
        </w:tc>
        <w:tc>
          <w:tcPr>
            <w:tcW w:w="22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委托项目</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采购编号</w:t>
            </w:r>
          </w:p>
        </w:tc>
        <w:tc>
          <w:tcPr>
            <w:tcW w:w="110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开标时间</w:t>
            </w:r>
          </w:p>
        </w:tc>
        <w:tc>
          <w:tcPr>
            <w:tcW w:w="278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中标（成交）金额（万元）</w:t>
            </w: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84" w:hRule="atLeast"/>
          <w:jc w:val="center"/>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3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11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p>
        </w:tc>
        <w:tc>
          <w:tcPr>
            <w:tcW w:w="278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6696" w:type="dxa"/>
            <w:gridSpan w:val="5"/>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b/>
                <w:bCs/>
                <w:kern w:val="0"/>
                <w:sz w:val="18"/>
                <w:szCs w:val="18"/>
              </w:rPr>
              <w:t>合   计：</w:t>
            </w:r>
          </w:p>
        </w:tc>
        <w:tc>
          <w:tcPr>
            <w:tcW w:w="27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r>
    </w:tbl>
    <w:p>
      <w:pPr>
        <w:ind w:left="-141" w:leftChars="-67"/>
        <w:rPr>
          <w:rFonts w:ascii="仿宋_GB2312" w:hAnsi="Times New Roman" w:eastAsia="仿宋_GB2312" w:cs="Times New Roman"/>
          <w:sz w:val="28"/>
          <w:szCs w:val="28"/>
        </w:rPr>
      </w:pPr>
    </w:p>
    <w:p>
      <w:pPr>
        <w:ind w:left="-141" w:leftChars="-67"/>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注：比选申请人2021年1月1日至比选响应文件递交截止时止代理采购的货物及服务类的政府采购代理业绩。提供在四川政府采购网打印的中标结果公告或委托代理协议复印件，并加盖</w:t>
      </w:r>
      <w:r>
        <w:rPr>
          <w:rFonts w:hint="eastAsia" w:ascii="仿宋_GB2312" w:hAnsi="宋体" w:eastAsia="仿宋_GB2312" w:cs="仿宋_GB2312"/>
          <w:kern w:val="0"/>
          <w:sz w:val="28"/>
          <w:szCs w:val="28"/>
        </w:rPr>
        <w:t>比选申请人</w:t>
      </w:r>
      <w:r>
        <w:rPr>
          <w:rFonts w:hint="eastAsia" w:ascii="仿宋_GB2312" w:hAnsi="Times New Roman" w:eastAsia="仿宋_GB2312" w:cs="Times New Roman"/>
          <w:sz w:val="28"/>
          <w:szCs w:val="28"/>
        </w:rPr>
        <w:t>鲜章。</w:t>
      </w:r>
    </w:p>
    <w:p>
      <w:pPr>
        <w:ind w:left="-141" w:leftChars="-67"/>
        <w:rPr>
          <w:rFonts w:ascii="仿宋_GB2312" w:hAnsi="Times New Roman" w:eastAsia="仿宋_GB2312" w:cs="Times New Roman"/>
          <w:sz w:val="28"/>
          <w:szCs w:val="28"/>
        </w:rPr>
      </w:pPr>
    </w:p>
    <w:p>
      <w:pPr>
        <w:keepNext/>
        <w:keepLines/>
        <w:spacing w:before="260" w:after="260" w:line="416" w:lineRule="auto"/>
        <w:jc w:val="center"/>
        <w:outlineLvl w:val="1"/>
        <w:rPr>
          <w:rFonts w:ascii="黑体" w:hAnsi="Cambria" w:eastAsia="黑体" w:cs="Times New Roman"/>
          <w:bCs/>
          <w:sz w:val="32"/>
          <w:szCs w:val="32"/>
        </w:rPr>
      </w:pPr>
      <w:r>
        <w:rPr>
          <w:rFonts w:ascii="仿宋_GB2312" w:hAnsi="Cambria" w:eastAsia="仿宋_GB2312" w:cs="Times New Roman"/>
          <w:bCs/>
          <w:sz w:val="32"/>
          <w:szCs w:val="32"/>
        </w:rPr>
        <w:br w:type="page"/>
      </w:r>
      <w:bookmarkStart w:id="9" w:name="_Toc89849510"/>
      <w:r>
        <w:rPr>
          <w:rFonts w:hint="eastAsia" w:ascii="黑体" w:hAnsi="Cambria" w:eastAsia="黑体" w:cs="Times New Roman"/>
          <w:bCs/>
          <w:sz w:val="32"/>
          <w:szCs w:val="32"/>
        </w:rPr>
        <w:t>7、</w:t>
      </w:r>
      <w:bookmarkStart w:id="10" w:name="_Hlk11703055"/>
      <w:r>
        <w:rPr>
          <w:rFonts w:hint="eastAsia" w:ascii="黑体" w:hAnsi="Cambria" w:eastAsia="黑体" w:cs="Times New Roman"/>
          <w:bCs/>
          <w:sz w:val="32"/>
          <w:szCs w:val="32"/>
        </w:rPr>
        <w:t>拟投入本采购代理项目的招标专职人员</w:t>
      </w:r>
      <w:bookmarkEnd w:id="9"/>
      <w:bookmarkEnd w:id="10"/>
    </w:p>
    <w:p>
      <w:pPr>
        <w:spacing w:line="420" w:lineRule="auto"/>
        <w:ind w:firstLine="480"/>
        <w:rPr>
          <w:rFonts w:ascii="宋体" w:hAnsi="宋体" w:eastAsia="宋体" w:cs="Times New Roman"/>
          <w:b/>
          <w:bCs/>
          <w:sz w:val="28"/>
          <w:szCs w:val="28"/>
        </w:rPr>
      </w:pPr>
    </w:p>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（注：自行编写）</w:t>
      </w:r>
    </w:p>
    <w:p>
      <w:pPr>
        <w:keepNext/>
        <w:keepLines/>
        <w:spacing w:before="260" w:after="260" w:line="416" w:lineRule="auto"/>
        <w:jc w:val="center"/>
        <w:outlineLvl w:val="1"/>
        <w:rPr>
          <w:rFonts w:ascii="黑体" w:hAnsi="Cambria" w:eastAsia="黑体" w:cs="Times New Roman"/>
          <w:bCs/>
          <w:sz w:val="32"/>
          <w:szCs w:val="32"/>
        </w:rPr>
      </w:pPr>
      <w:r>
        <w:rPr>
          <w:rFonts w:ascii="黑体" w:hAnsi="Cambria" w:eastAsia="黑体" w:cs="Times New Roman"/>
          <w:bCs/>
          <w:sz w:val="32"/>
          <w:szCs w:val="32"/>
        </w:rPr>
        <w:br w:type="page"/>
      </w:r>
      <w:bookmarkStart w:id="11" w:name="_Toc89849511"/>
      <w:r>
        <w:rPr>
          <w:rFonts w:hint="eastAsia" w:ascii="黑体" w:hAnsi="Cambria" w:eastAsia="黑体" w:cs="Times New Roman"/>
          <w:bCs/>
          <w:sz w:val="32"/>
          <w:szCs w:val="32"/>
        </w:rPr>
        <w:t>8、</w:t>
      </w:r>
      <w:bookmarkStart w:id="12" w:name="_Hlk11703792"/>
      <w:r>
        <w:rPr>
          <w:rFonts w:hint="eastAsia" w:ascii="黑体" w:hAnsi="Cambria" w:eastAsia="黑体" w:cs="Times New Roman"/>
          <w:bCs/>
          <w:sz w:val="32"/>
          <w:szCs w:val="32"/>
        </w:rPr>
        <w:t>采购代理服务方案</w:t>
      </w:r>
      <w:bookmarkEnd w:id="11"/>
      <w:bookmarkEnd w:id="12"/>
    </w:p>
    <w:p>
      <w:pPr>
        <w:widowControl/>
        <w:ind w:firstLine="560" w:firstLineChars="200"/>
        <w:jc w:val="left"/>
        <w:rPr>
          <w:rFonts w:ascii="楷体" w:hAnsi="楷体" w:eastAsia="楷体" w:cs="楷体"/>
          <w:kern w:val="0"/>
          <w:sz w:val="28"/>
          <w:szCs w:val="28"/>
        </w:rPr>
      </w:pPr>
    </w:p>
    <w:p>
      <w:pPr>
        <w:widowControl/>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请比选申请人根据本项目情况编写采购代理方案。</w:t>
      </w:r>
    </w:p>
    <w:p>
      <w:pPr>
        <w:jc w:val="center"/>
        <w:rPr>
          <w:rFonts w:ascii="仿宋_GB2312" w:hAnsi="Times New Roman" w:eastAsia="仿宋_GB2312" w:cs="Times New Roman"/>
          <w:sz w:val="28"/>
          <w:szCs w:val="28"/>
        </w:rPr>
      </w:pPr>
    </w:p>
    <w:p>
      <w:pPr>
        <w:jc w:val="center"/>
        <w:rPr>
          <w:rFonts w:ascii="仿宋_GB2312" w:hAnsi="Times New Roman" w:eastAsia="仿宋_GB2312" w:cs="Times New Roman"/>
          <w:sz w:val="28"/>
          <w:szCs w:val="28"/>
        </w:rPr>
      </w:pPr>
    </w:p>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（注：自行编写）</w:t>
      </w:r>
    </w:p>
    <w:p>
      <w:pPr>
        <w:keepNext/>
        <w:keepLines/>
        <w:spacing w:before="260" w:after="260" w:line="416" w:lineRule="auto"/>
        <w:jc w:val="center"/>
        <w:outlineLvl w:val="1"/>
        <w:rPr>
          <w:rFonts w:ascii="Cambria" w:hAnsi="Cambria" w:eastAsia="宋体" w:cs="Times New Roman"/>
          <w:b/>
          <w:bCs/>
          <w:sz w:val="32"/>
          <w:szCs w:val="32"/>
        </w:rPr>
      </w:pPr>
      <w:r>
        <w:rPr>
          <w:rFonts w:ascii="宋体" w:hAnsi="Cambria" w:eastAsia="宋体" w:cs="宋体"/>
          <w:b/>
          <w:bCs/>
          <w:kern w:val="0"/>
          <w:sz w:val="28"/>
          <w:szCs w:val="28"/>
        </w:rPr>
        <w:br w:type="page"/>
      </w:r>
      <w:bookmarkStart w:id="13" w:name="_Toc89849512"/>
      <w:r>
        <w:rPr>
          <w:rFonts w:hint="eastAsia" w:ascii="Cambria" w:hAnsi="Cambria" w:eastAsia="宋体" w:cs="Times New Roman"/>
          <w:b/>
          <w:bCs/>
          <w:sz w:val="32"/>
          <w:szCs w:val="32"/>
        </w:rPr>
        <w:t>第三章 评分标准</w:t>
      </w:r>
      <w:bookmarkEnd w:id="13"/>
    </w:p>
    <w:p>
      <w:pPr>
        <w:keepNext/>
        <w:keepLines/>
        <w:adjustRightInd w:val="0"/>
        <w:snapToGrid w:val="0"/>
        <w:spacing w:line="360" w:lineRule="auto"/>
        <w:ind w:firstLine="562" w:firstLineChars="200"/>
        <w:outlineLvl w:val="3"/>
        <w:rPr>
          <w:rFonts w:ascii="Cambria" w:hAnsi="Cambria" w:eastAsia="宋体" w:cs="Times New Roman"/>
          <w:b/>
          <w:bCs/>
          <w:sz w:val="28"/>
          <w:szCs w:val="28"/>
        </w:rPr>
      </w:pPr>
      <w:bookmarkStart w:id="14" w:name="_Toc89849513"/>
      <w:r>
        <w:rPr>
          <w:rFonts w:hint="eastAsia" w:ascii="Cambria" w:hAnsi="Cambria" w:eastAsia="宋体" w:cs="Times New Roman"/>
          <w:b/>
          <w:bCs/>
          <w:sz w:val="28"/>
          <w:szCs w:val="28"/>
        </w:rPr>
        <w:t>1、评分办法</w:t>
      </w:r>
      <w:bookmarkEnd w:id="14"/>
    </w:p>
    <w:p>
      <w:pPr>
        <w:adjustRightInd w:val="0"/>
        <w:snapToGrid w:val="0"/>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本次比选采用综合评分法，由</w:t>
      </w:r>
      <w:r>
        <w:rPr>
          <w:rFonts w:hint="eastAsia" w:ascii="仿宋_GB2312" w:hAnsi="宋体" w:eastAsia="仿宋_GB2312" w:cs="宋体"/>
          <w:kern w:val="0"/>
          <w:sz w:val="28"/>
          <w:szCs w:val="28"/>
        </w:rPr>
        <w:t>比选</w:t>
      </w:r>
      <w:r>
        <w:rPr>
          <w:rFonts w:hint="eastAsia" w:ascii="仿宋_GB2312" w:hAnsi="Times New Roman" w:eastAsia="仿宋_GB2312" w:cs="Times New Roman"/>
          <w:sz w:val="28"/>
          <w:szCs w:val="28"/>
        </w:rPr>
        <w:t>评审委员会各成员独立对通过资格性和符合性审查的比选响应文件进行评审和打分，各位评委得分的算术平均数为投标人的最终得分。</w:t>
      </w:r>
    </w:p>
    <w:p>
      <w:pPr>
        <w:adjustRightInd w:val="0"/>
        <w:snapToGrid w:val="0"/>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评分的取值按四舍五入法，保留小数点后两位。</w:t>
      </w:r>
    </w:p>
    <w:p>
      <w:pPr>
        <w:adjustRightInd w:val="0"/>
        <w:snapToGrid w:val="0"/>
        <w:spacing w:line="360" w:lineRule="auto"/>
        <w:ind w:firstLine="560"/>
        <w:rPr>
          <w:rFonts w:ascii="仿宋_GB2312" w:hAnsi="宋体" w:eastAsia="仿宋_GB2312" w:cs="Times New Roman"/>
          <w:sz w:val="28"/>
          <w:szCs w:val="28"/>
        </w:rPr>
      </w:pPr>
      <w:r>
        <w:rPr>
          <w:rFonts w:hint="eastAsia" w:ascii="仿宋_GB2312" w:hAnsi="宋体" w:eastAsia="仿宋_GB2312" w:cs="Times New Roman"/>
          <w:sz w:val="28"/>
          <w:szCs w:val="28"/>
        </w:rPr>
        <w:t>评标得分＝（F</w:t>
      </w:r>
      <w:r>
        <w:rPr>
          <w:rFonts w:hint="eastAsia" w:ascii="仿宋_GB2312" w:hAnsi="宋体" w:eastAsia="仿宋_GB2312" w:cs="Times New Roman"/>
          <w:sz w:val="28"/>
          <w:szCs w:val="28"/>
          <w:vertAlign w:val="subscript"/>
        </w:rPr>
        <w:t>1</w:t>
      </w:r>
      <w:r>
        <w:rPr>
          <w:rFonts w:hint="eastAsia" w:ascii="仿宋_GB2312" w:hAnsi="宋体" w:eastAsia="仿宋_GB2312" w:cs="Times New Roman"/>
          <w:sz w:val="28"/>
          <w:szCs w:val="28"/>
        </w:rPr>
        <w:t>＋F</w:t>
      </w:r>
      <w:r>
        <w:rPr>
          <w:rFonts w:hint="eastAsia" w:ascii="仿宋_GB2312" w:hAnsi="宋体" w:eastAsia="仿宋_GB2312" w:cs="Times New Roman"/>
          <w:sz w:val="28"/>
          <w:szCs w:val="28"/>
          <w:vertAlign w:val="subscript"/>
        </w:rPr>
        <w:t>2</w:t>
      </w:r>
      <w:r>
        <w:rPr>
          <w:rFonts w:hint="eastAsia" w:ascii="仿宋_GB2312" w:hAnsi="宋体" w:eastAsia="仿宋_GB2312" w:cs="Times New Roman"/>
          <w:sz w:val="28"/>
          <w:szCs w:val="28"/>
        </w:rPr>
        <w:t>＋……＋F</w:t>
      </w:r>
      <w:r>
        <w:rPr>
          <w:rFonts w:hint="eastAsia" w:ascii="仿宋_GB2312" w:hAnsi="宋体" w:eastAsia="仿宋_GB2312" w:cs="Times New Roman"/>
          <w:sz w:val="28"/>
          <w:szCs w:val="28"/>
          <w:vertAlign w:val="subscript"/>
        </w:rPr>
        <w:t>n</w:t>
      </w:r>
      <w:r>
        <w:rPr>
          <w:rFonts w:hint="eastAsia" w:ascii="仿宋_GB2312" w:hAnsi="宋体" w:eastAsia="仿宋_GB2312" w:cs="Times New Roman"/>
          <w:sz w:val="28"/>
          <w:szCs w:val="28"/>
        </w:rPr>
        <w:t xml:space="preserve">）/n </w:t>
      </w:r>
    </w:p>
    <w:p>
      <w:pPr>
        <w:adjustRightInd w:val="0"/>
        <w:snapToGrid w:val="0"/>
        <w:spacing w:line="360" w:lineRule="auto"/>
        <w:ind w:firstLine="560"/>
        <w:rPr>
          <w:rFonts w:ascii="仿宋_GB2312" w:hAnsi="宋体" w:eastAsia="仿宋_GB2312" w:cs="Times New Roman"/>
          <w:sz w:val="28"/>
          <w:szCs w:val="28"/>
        </w:rPr>
      </w:pPr>
      <w:r>
        <w:rPr>
          <w:rFonts w:hint="eastAsia" w:ascii="仿宋_GB2312" w:hAnsi="宋体" w:eastAsia="仿宋_GB2312" w:cs="Times New Roman"/>
          <w:sz w:val="28"/>
          <w:szCs w:val="28"/>
        </w:rPr>
        <w:t>F</w:t>
      </w:r>
      <w:r>
        <w:rPr>
          <w:rFonts w:hint="eastAsia" w:ascii="仿宋_GB2312" w:hAnsi="宋体" w:eastAsia="仿宋_GB2312" w:cs="Times New Roman"/>
          <w:sz w:val="28"/>
          <w:szCs w:val="28"/>
          <w:vertAlign w:val="subscript"/>
        </w:rPr>
        <w:t>1</w:t>
      </w:r>
      <w:r>
        <w:rPr>
          <w:rFonts w:hint="eastAsia" w:ascii="仿宋_GB2312" w:hAnsi="宋体" w:eastAsia="仿宋_GB2312" w:cs="Times New Roman"/>
          <w:sz w:val="28"/>
          <w:szCs w:val="28"/>
        </w:rPr>
        <w:t>、F</w:t>
      </w:r>
      <w:r>
        <w:rPr>
          <w:rFonts w:hint="eastAsia" w:ascii="仿宋_GB2312" w:hAnsi="宋体" w:eastAsia="仿宋_GB2312" w:cs="Times New Roman"/>
          <w:sz w:val="28"/>
          <w:szCs w:val="28"/>
          <w:vertAlign w:val="subscript"/>
        </w:rPr>
        <w:t>2</w:t>
      </w:r>
      <w:r>
        <w:rPr>
          <w:rFonts w:hint="eastAsia" w:ascii="仿宋_GB2312" w:hAnsi="宋体" w:eastAsia="仿宋_GB2312" w:cs="Times New Roman"/>
          <w:sz w:val="28"/>
          <w:szCs w:val="28"/>
        </w:rPr>
        <w:t>……F</w:t>
      </w:r>
      <w:r>
        <w:rPr>
          <w:rFonts w:hint="eastAsia" w:ascii="仿宋_GB2312" w:hAnsi="宋体" w:eastAsia="仿宋_GB2312" w:cs="Times New Roman"/>
          <w:sz w:val="28"/>
          <w:szCs w:val="28"/>
          <w:vertAlign w:val="subscript"/>
        </w:rPr>
        <w:t>n</w:t>
      </w:r>
      <w:r>
        <w:rPr>
          <w:rFonts w:hint="eastAsia" w:ascii="仿宋_GB2312" w:hAnsi="宋体" w:eastAsia="仿宋_GB2312" w:cs="Times New Roman"/>
          <w:sz w:val="28"/>
          <w:szCs w:val="28"/>
        </w:rPr>
        <w:t>分别为每个评委的打分。</w:t>
      </w:r>
    </w:p>
    <w:p>
      <w:pPr>
        <w:keepNext/>
        <w:keepLines/>
        <w:adjustRightInd w:val="0"/>
        <w:snapToGrid w:val="0"/>
        <w:spacing w:line="360" w:lineRule="auto"/>
        <w:ind w:firstLine="562" w:firstLineChars="200"/>
        <w:outlineLvl w:val="3"/>
        <w:rPr>
          <w:rFonts w:ascii="Cambria" w:hAnsi="Cambria" w:eastAsia="宋体" w:cs="Times New Roman"/>
          <w:b/>
          <w:bCs/>
          <w:sz w:val="28"/>
          <w:szCs w:val="28"/>
        </w:rPr>
      </w:pPr>
      <w:bookmarkStart w:id="15" w:name="_Toc89849514"/>
      <w:r>
        <w:rPr>
          <w:rFonts w:hint="eastAsia" w:ascii="Cambria" w:hAnsi="Cambria" w:eastAsia="宋体" w:cs="Times New Roman"/>
          <w:b/>
          <w:bCs/>
          <w:sz w:val="28"/>
          <w:szCs w:val="28"/>
        </w:rPr>
        <w:t>2、评分标准</w:t>
      </w:r>
      <w:bookmarkEnd w:id="15"/>
    </w:p>
    <w:tbl>
      <w:tblPr>
        <w:tblStyle w:val="6"/>
        <w:tblW w:w="9371" w:type="dxa"/>
        <w:tblInd w:w="0" w:type="dxa"/>
        <w:tblLayout w:type="fixed"/>
        <w:tblCellMar>
          <w:top w:w="15" w:type="dxa"/>
          <w:left w:w="15" w:type="dxa"/>
          <w:bottom w:w="15" w:type="dxa"/>
          <w:right w:w="15" w:type="dxa"/>
        </w:tblCellMar>
      </w:tblPr>
      <w:tblGrid>
        <w:gridCol w:w="1008"/>
        <w:gridCol w:w="1134"/>
        <w:gridCol w:w="5953"/>
        <w:gridCol w:w="1276"/>
      </w:tblGrid>
      <w:tr>
        <w:tblPrEx>
          <w:tblLayout w:type="fixed"/>
          <w:tblCellMar>
            <w:top w:w="15" w:type="dxa"/>
            <w:left w:w="15" w:type="dxa"/>
            <w:bottom w:w="15" w:type="dxa"/>
            <w:right w:w="15" w:type="dxa"/>
          </w:tblCellMar>
        </w:tblPrEx>
        <w:trPr>
          <w:trHeight w:val="285"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szCs w:val="21"/>
              </w:rPr>
            </w:pPr>
            <w:bookmarkStart w:id="16" w:name="_Hlk11705103"/>
            <w:r>
              <w:rPr>
                <w:rFonts w:hint="eastAsia" w:ascii="宋体" w:hAnsi="宋体" w:eastAsia="宋体" w:cs="宋体"/>
                <w:b/>
                <w:kern w:val="0"/>
                <w:szCs w:val="21"/>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评审项目及权重</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评审内容</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得分</w:t>
            </w:r>
          </w:p>
        </w:tc>
      </w:tr>
      <w:tr>
        <w:tblPrEx>
          <w:tblLayout w:type="fixed"/>
          <w:tblCellMar>
            <w:top w:w="15" w:type="dxa"/>
            <w:left w:w="15" w:type="dxa"/>
            <w:bottom w:w="15" w:type="dxa"/>
            <w:right w:w="15" w:type="dxa"/>
          </w:tblCellMar>
        </w:tblPrEx>
        <w:trPr>
          <w:trHeight w:val="529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一</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代理服务费报价（30分）</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楷体"/>
                <w:kern w:val="0"/>
                <w:szCs w:val="21"/>
              </w:rPr>
            </w:pPr>
            <w:r>
              <w:rPr>
                <w:rFonts w:hint="eastAsia" w:ascii="宋体" w:hAnsi="宋体" w:eastAsia="宋体" w:cs="楷体"/>
                <w:kern w:val="0"/>
                <w:szCs w:val="21"/>
              </w:rPr>
              <w:t>根据比选申请人依据下表收费标准收取中标（成交）供应商招标代理服务费的下浮比例进行评审。不下浮比例的得10分。下浮比例为5%的得15分，下浮比例为10%的得20分。下浮比例为15%的得25分，下浮比例为20%的得30分。</w:t>
            </w:r>
          </w:p>
          <w:p>
            <w:pPr>
              <w:widowControl w:val="0"/>
              <w:spacing w:after="120"/>
              <w:jc w:val="both"/>
              <w:rPr>
                <w:rFonts w:ascii="Calibri" w:hAnsi="Calibri" w:eastAsia="宋体" w:cs="Times New Roman"/>
                <w:kern w:val="2"/>
                <w:sz w:val="21"/>
                <w:szCs w:val="22"/>
                <w:lang w:val="en-US" w:eastAsia="zh-CN" w:bidi="ar-SA"/>
              </w:rPr>
            </w:pPr>
          </w:p>
          <w:tbl>
            <w:tblPr>
              <w:tblStyle w:val="6"/>
              <w:tblW w:w="4782"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827"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 w:val="15"/>
                      <w:szCs w:val="15"/>
                    </w:rPr>
                  </w:pPr>
                  <w:r>
                    <w:rPr>
                      <w:rFonts w:hint="eastAsia" w:ascii="Calibri" w:hAnsi="Calibri" w:eastAsia="宋体" w:cs="Times New Roman"/>
                      <w:b/>
                      <w:sz w:val="15"/>
                      <w:szCs w:val="15"/>
                    </w:rPr>
                    <w:t>服务类型</w:t>
                  </w:r>
                </w:p>
                <w:p>
                  <w:pPr>
                    <w:snapToGrid w:val="0"/>
                    <w:rPr>
                      <w:rFonts w:ascii="Calibri" w:hAnsi="Calibri" w:eastAsia="宋体" w:cs="Times New Roman"/>
                      <w:b/>
                      <w:sz w:val="15"/>
                      <w:szCs w:val="15"/>
                    </w:rPr>
                  </w:pPr>
                  <w:r>
                    <w:rPr>
                      <w:rFonts w:hint="eastAsia" w:ascii="Calibri" w:hAnsi="Calibri" w:eastAsia="宋体" w:cs="Times New Roman"/>
                      <w:b/>
                      <w:sz w:val="15"/>
                      <w:szCs w:val="15"/>
                    </w:rPr>
                    <w:t>费率</w:t>
                  </w:r>
                </w:p>
                <w:p>
                  <w:pPr>
                    <w:snapToGrid w:val="0"/>
                    <w:rPr>
                      <w:rFonts w:ascii="Calibri" w:hAnsi="Calibri" w:eastAsia="宋体" w:cs="Times New Roman"/>
                      <w:b/>
                      <w:sz w:val="15"/>
                      <w:szCs w:val="15"/>
                    </w:rPr>
                  </w:pPr>
                  <w:r>
                    <w:rPr>
                      <w:rFonts w:hint="eastAsia" w:ascii="Calibri" w:hAnsi="Calibri" w:eastAsia="宋体" w:cs="Times New Roman"/>
                      <w:b/>
                      <w:sz w:val="15"/>
                      <w:szCs w:val="15"/>
                    </w:rPr>
                    <w:t>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sz w:val="15"/>
                      <w:szCs w:val="15"/>
                    </w:rPr>
                  </w:pPr>
                  <w:r>
                    <w:rPr>
                      <w:rFonts w:hint="eastAsia" w:ascii="Calibri" w:hAnsi="Calibri" w:eastAsia="宋体" w:cs="Times New Roman"/>
                      <w:b/>
                      <w:sz w:val="15"/>
                      <w:szCs w:val="15"/>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sz w:val="15"/>
                      <w:szCs w:val="15"/>
                    </w:rPr>
                  </w:pPr>
                  <w:r>
                    <w:rPr>
                      <w:rFonts w:hint="eastAsia" w:ascii="Calibri" w:hAnsi="Calibri" w:eastAsia="宋体" w:cs="Times New Roman"/>
                      <w:b/>
                      <w:sz w:val="15"/>
                      <w:szCs w:val="15"/>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w:t>
                  </w:r>
                  <w:r>
                    <w:rPr>
                      <w:rFonts w:hint="eastAsia" w:ascii="Calibri" w:hAnsi="Calibri" w:eastAsia="宋体" w:cs="Times New Roman"/>
                      <w:szCs w:val="22"/>
                    </w:rPr>
                    <w:t>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1000000</w:t>
                  </w:r>
                  <w:r>
                    <w:rPr>
                      <w:rFonts w:hint="eastAsia" w:ascii="Calibri" w:hAnsi="Calibri" w:eastAsia="宋体" w:cs="Times New Roman"/>
                      <w:szCs w:val="22"/>
                    </w:rPr>
                    <w:t>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2"/>
                    </w:rPr>
                  </w:pPr>
                  <w:r>
                    <w:rPr>
                      <w:rFonts w:ascii="Calibri" w:hAnsi="Calibri" w:eastAsia="宋体" w:cs="Times New Roman"/>
                      <w:szCs w:val="22"/>
                    </w:rPr>
                    <w:t>0.01%</w:t>
                  </w:r>
                </w:p>
              </w:tc>
            </w:tr>
          </w:tbl>
          <w:p>
            <w:pPr>
              <w:widowControl w:val="0"/>
              <w:jc w:val="both"/>
              <w:rPr>
                <w:rFonts w:ascii="宋体" w:hAnsi="Courier New" w:eastAsia="宋体" w:cs="Courier New"/>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szCs w:val="21"/>
              </w:rPr>
            </w:pPr>
            <w:bookmarkStart w:id="19" w:name="_GoBack"/>
            <w:bookmarkEnd w:id="19"/>
          </w:p>
        </w:tc>
      </w:tr>
      <w:tr>
        <w:tblPrEx>
          <w:tblLayout w:type="fixed"/>
          <w:tblCellMar>
            <w:top w:w="15" w:type="dxa"/>
            <w:left w:w="15" w:type="dxa"/>
            <w:bottom w:w="15" w:type="dxa"/>
            <w:right w:w="15" w:type="dxa"/>
          </w:tblCellMar>
        </w:tblPrEx>
        <w:trPr>
          <w:trHeight w:val="114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综合实力</w:t>
            </w:r>
            <w:r>
              <w:rPr>
                <w:rFonts w:hint="eastAsia" w:ascii="宋体" w:hAnsi="宋体" w:eastAsia="宋体" w:cs="楷体"/>
                <w:kern w:val="0"/>
                <w:szCs w:val="21"/>
              </w:rPr>
              <w:br w:type="textWrapping"/>
            </w:r>
            <w:r>
              <w:rPr>
                <w:rFonts w:hint="eastAsia" w:ascii="宋体" w:hAnsi="宋体" w:eastAsia="宋体" w:cs="楷体"/>
                <w:kern w:val="0"/>
                <w:szCs w:val="21"/>
              </w:rPr>
              <w:t>（15分）</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楷体"/>
                <w:kern w:val="0"/>
                <w:szCs w:val="21"/>
              </w:rPr>
            </w:pPr>
            <w:r>
              <w:rPr>
                <w:rFonts w:hint="eastAsia" w:ascii="宋体" w:hAnsi="宋体" w:eastAsia="宋体" w:cs="楷体"/>
                <w:kern w:val="0"/>
                <w:szCs w:val="21"/>
              </w:rPr>
              <w:t>一、对比选申请人拟为本项目配置的服务人员进行评比：</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1、政府采购专职人员数量达到4人及以上的，得</w:t>
            </w:r>
            <w:r>
              <w:rPr>
                <w:rFonts w:ascii="宋体" w:hAnsi="宋体" w:eastAsia="宋体" w:cs="楷体"/>
                <w:kern w:val="0"/>
                <w:szCs w:val="21"/>
              </w:rPr>
              <w:t>2</w:t>
            </w:r>
            <w:r>
              <w:rPr>
                <w:rFonts w:hint="eastAsia" w:ascii="宋体" w:hAnsi="宋体" w:eastAsia="宋体" w:cs="楷体"/>
                <w:kern w:val="0"/>
                <w:szCs w:val="21"/>
              </w:rPr>
              <w:t>分；</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说明：</w:t>
            </w:r>
            <w:r>
              <w:rPr>
                <w:rFonts w:ascii="宋体" w:hAnsi="宋体" w:eastAsia="宋体" w:cs="楷体"/>
                <w:kern w:val="0"/>
                <w:szCs w:val="21"/>
              </w:rPr>
              <w:t>1</w:t>
            </w:r>
            <w:r>
              <w:rPr>
                <w:rFonts w:hint="eastAsia" w:ascii="宋体" w:hAnsi="宋体" w:eastAsia="宋体" w:cs="楷体"/>
                <w:kern w:val="0"/>
                <w:szCs w:val="21"/>
              </w:rPr>
              <w:t>）提供《四川省财政厅颁发的政府采购代理机构专职人员继续教育培训合格证》证书复印件；</w:t>
            </w:r>
            <w:r>
              <w:rPr>
                <w:rFonts w:ascii="宋体" w:hAnsi="宋体" w:eastAsia="宋体" w:cs="楷体"/>
                <w:kern w:val="0"/>
                <w:szCs w:val="21"/>
              </w:rPr>
              <w:t>2</w:t>
            </w:r>
            <w:r>
              <w:rPr>
                <w:rFonts w:hint="eastAsia" w:ascii="宋体" w:hAnsi="宋体" w:eastAsia="宋体" w:cs="楷体"/>
                <w:kern w:val="0"/>
                <w:szCs w:val="21"/>
              </w:rPr>
              <w:t>）培训合格证书上的代理机构名称与比选申请人营业执照上的名称一致；</w:t>
            </w:r>
            <w:r>
              <w:rPr>
                <w:rFonts w:ascii="宋体" w:hAnsi="宋体" w:eastAsia="宋体" w:cs="楷体"/>
                <w:kern w:val="0"/>
                <w:szCs w:val="21"/>
              </w:rPr>
              <w:t>3</w:t>
            </w:r>
            <w:r>
              <w:rPr>
                <w:rFonts w:hint="eastAsia" w:ascii="宋体" w:hAnsi="宋体" w:eastAsia="宋体" w:cs="楷体"/>
                <w:kern w:val="0"/>
                <w:szCs w:val="21"/>
              </w:rPr>
              <w:t>）提供近六个月的社保证明。</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2、服务人员中具有一名高级职称人员的，得</w:t>
            </w:r>
            <w:r>
              <w:rPr>
                <w:rFonts w:ascii="宋体" w:hAnsi="宋体" w:eastAsia="宋体" w:cs="楷体"/>
                <w:kern w:val="0"/>
                <w:szCs w:val="21"/>
              </w:rPr>
              <w:t>1</w:t>
            </w:r>
            <w:r>
              <w:rPr>
                <w:rFonts w:hint="eastAsia" w:ascii="宋体" w:hAnsi="宋体" w:eastAsia="宋体" w:cs="楷体"/>
                <w:kern w:val="0"/>
                <w:szCs w:val="21"/>
              </w:rPr>
              <w:t>分；（提供职称证书复印件）</w:t>
            </w:r>
          </w:p>
          <w:p>
            <w:pPr>
              <w:widowControl/>
              <w:jc w:val="left"/>
              <w:textAlignment w:val="center"/>
              <w:rPr>
                <w:rFonts w:ascii="宋体" w:hAnsi="宋体" w:eastAsia="宋体" w:cs="楷体"/>
                <w:kern w:val="0"/>
                <w:szCs w:val="21"/>
              </w:rPr>
            </w:pPr>
            <w:r>
              <w:rPr>
                <w:rFonts w:ascii="宋体" w:hAnsi="宋体" w:eastAsia="宋体" w:cs="楷体"/>
                <w:kern w:val="0"/>
                <w:szCs w:val="21"/>
              </w:rPr>
              <w:t>3</w:t>
            </w:r>
            <w:r>
              <w:rPr>
                <w:rFonts w:hint="eastAsia" w:ascii="宋体" w:hAnsi="宋体" w:eastAsia="宋体" w:cs="楷体"/>
                <w:kern w:val="0"/>
                <w:szCs w:val="21"/>
              </w:rPr>
              <w:t>、服务人员中具有一名法律专业人员的，得</w:t>
            </w:r>
            <w:r>
              <w:rPr>
                <w:rFonts w:ascii="宋体" w:hAnsi="宋体" w:eastAsia="宋体" w:cs="楷体"/>
                <w:kern w:val="0"/>
                <w:szCs w:val="21"/>
              </w:rPr>
              <w:t>1</w:t>
            </w:r>
            <w:r>
              <w:rPr>
                <w:rFonts w:hint="eastAsia" w:ascii="宋体" w:hAnsi="宋体" w:eastAsia="宋体" w:cs="楷体"/>
                <w:kern w:val="0"/>
                <w:szCs w:val="21"/>
              </w:rPr>
              <w:t>分；（提供法律职业资格证复印件）</w:t>
            </w:r>
          </w:p>
          <w:p>
            <w:pPr>
              <w:widowControl/>
              <w:jc w:val="left"/>
              <w:textAlignment w:val="center"/>
              <w:rPr>
                <w:rFonts w:ascii="宋体" w:hAnsi="宋体" w:eastAsia="宋体" w:cs="楷体"/>
                <w:kern w:val="0"/>
                <w:szCs w:val="21"/>
              </w:rPr>
            </w:pPr>
            <w:r>
              <w:rPr>
                <w:rFonts w:ascii="宋体" w:hAnsi="宋体" w:eastAsia="宋体" w:cs="楷体"/>
                <w:kern w:val="0"/>
                <w:szCs w:val="21"/>
              </w:rPr>
              <w:t>4</w:t>
            </w:r>
            <w:r>
              <w:rPr>
                <w:rFonts w:hint="eastAsia" w:ascii="宋体" w:hAnsi="宋体" w:eastAsia="宋体" w:cs="楷体"/>
                <w:kern w:val="0"/>
                <w:szCs w:val="21"/>
              </w:rPr>
              <w:t>、服务人员中具有一名政府采购评审专家的，得</w:t>
            </w:r>
            <w:r>
              <w:rPr>
                <w:rFonts w:ascii="宋体" w:hAnsi="宋体" w:eastAsia="宋体" w:cs="楷体"/>
                <w:kern w:val="0"/>
                <w:szCs w:val="21"/>
              </w:rPr>
              <w:t>1</w:t>
            </w:r>
            <w:r>
              <w:rPr>
                <w:rFonts w:hint="eastAsia" w:ascii="宋体" w:hAnsi="宋体" w:eastAsia="宋体" w:cs="楷体"/>
                <w:kern w:val="0"/>
                <w:szCs w:val="21"/>
              </w:rPr>
              <w:t>分。（提供四川省财政厅颁发的有效专家证书复印件）</w:t>
            </w:r>
          </w:p>
          <w:p>
            <w:pPr>
              <w:widowControl/>
              <w:jc w:val="left"/>
              <w:textAlignment w:val="center"/>
              <w:rPr>
                <w:rFonts w:ascii="宋体" w:hAnsi="宋体" w:eastAsia="宋体" w:cs="楷体"/>
                <w:szCs w:val="21"/>
              </w:rPr>
            </w:pPr>
            <w:r>
              <w:rPr>
                <w:rFonts w:hint="eastAsia" w:ascii="宋体" w:hAnsi="宋体" w:eastAsia="宋体" w:cs="楷体"/>
                <w:kern w:val="0"/>
                <w:szCs w:val="21"/>
              </w:rPr>
              <w:t>（说明：1、一个人同时满足2-</w:t>
            </w:r>
            <w:r>
              <w:rPr>
                <w:rFonts w:ascii="宋体" w:hAnsi="宋体" w:eastAsia="宋体" w:cs="楷体"/>
                <w:kern w:val="0"/>
                <w:szCs w:val="21"/>
              </w:rPr>
              <w:t>4</w:t>
            </w:r>
            <w:r>
              <w:rPr>
                <w:rFonts w:hint="eastAsia" w:ascii="宋体" w:hAnsi="宋体" w:eastAsia="宋体" w:cs="楷体"/>
                <w:kern w:val="0"/>
                <w:szCs w:val="21"/>
              </w:rPr>
              <w:t>项中任意两项及以上的不重复计分；2、2-</w:t>
            </w:r>
            <w:r>
              <w:rPr>
                <w:rFonts w:ascii="宋体" w:hAnsi="宋体" w:eastAsia="宋体" w:cs="楷体"/>
                <w:kern w:val="0"/>
                <w:szCs w:val="21"/>
              </w:rPr>
              <w:t>4</w:t>
            </w:r>
            <w:r>
              <w:rPr>
                <w:rFonts w:hint="eastAsia" w:ascii="宋体" w:hAnsi="宋体" w:eastAsia="宋体" w:cs="楷体"/>
                <w:kern w:val="0"/>
                <w:szCs w:val="21"/>
              </w:rPr>
              <w:t>项人员均需提供近六个月的社保证明和相关证书等客观证明材料复印件。）</w:t>
            </w:r>
            <w:r>
              <w:rPr>
                <w:rFonts w:ascii="宋体" w:hAnsi="宋体" w:eastAsia="宋体" w:cs="楷体"/>
                <w:kern w:val="0"/>
                <w:szCs w:val="21"/>
              </w:rPr>
              <w:br w:type="textWrapping"/>
            </w:r>
            <w:r>
              <w:rPr>
                <w:rFonts w:hint="eastAsia" w:ascii="宋体" w:hAnsi="宋体" w:eastAsia="宋体" w:cs="楷体"/>
                <w:kern w:val="0"/>
                <w:szCs w:val="21"/>
              </w:rPr>
              <w:t>二、</w:t>
            </w:r>
            <w:r>
              <w:rPr>
                <w:rFonts w:hint="eastAsia" w:ascii="宋体" w:hAnsi="宋体" w:eastAsia="宋体" w:cs="楷体"/>
                <w:szCs w:val="21"/>
              </w:rPr>
              <w:t>对比选申请人在四川的固定营业场所、开评标场地、档案管理场地、监控录音录像及门禁设施设备情况在规范性、完整性以及保障性等方面进行综合评审：第一名10分，第二名8分，第三名6分，第四名4分，第五名2分，第六名及以后1分。</w:t>
            </w:r>
          </w:p>
          <w:p>
            <w:pPr>
              <w:widowControl/>
              <w:jc w:val="left"/>
              <w:textAlignment w:val="center"/>
              <w:rPr>
                <w:rFonts w:ascii="宋体" w:hAnsi="宋体" w:eastAsia="宋体" w:cs="楷体"/>
                <w:szCs w:val="21"/>
              </w:rPr>
            </w:pPr>
            <w:r>
              <w:rPr>
                <w:rFonts w:hint="eastAsia" w:ascii="宋体" w:hAnsi="宋体" w:eastAsia="宋体" w:cs="楷体"/>
                <w:szCs w:val="21"/>
              </w:rPr>
              <w:t>说明：须提供房产证/不动产权证（或租房合同）、实景图片等相关支撑材料。（比选人有权进行实地考察，如实际情况与比选申请书描述不一致的，将取消中选资格）</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szCs w:val="21"/>
              </w:rPr>
            </w:pPr>
          </w:p>
        </w:tc>
      </w:tr>
      <w:tr>
        <w:tblPrEx>
          <w:tblLayout w:type="fixed"/>
          <w:tblCellMar>
            <w:top w:w="15" w:type="dxa"/>
            <w:left w:w="15" w:type="dxa"/>
            <w:bottom w:w="15" w:type="dxa"/>
            <w:right w:w="15" w:type="dxa"/>
          </w:tblCellMar>
        </w:tblPrEx>
        <w:trPr>
          <w:trHeight w:val="139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代理业绩</w:t>
            </w:r>
            <w:r>
              <w:rPr>
                <w:rFonts w:hint="eastAsia" w:ascii="宋体" w:hAnsi="宋体" w:eastAsia="宋体" w:cs="楷体"/>
                <w:kern w:val="0"/>
                <w:szCs w:val="21"/>
              </w:rPr>
              <w:br w:type="textWrapping"/>
            </w:r>
            <w:r>
              <w:rPr>
                <w:rFonts w:hint="eastAsia" w:ascii="宋体" w:hAnsi="宋体" w:eastAsia="宋体" w:cs="楷体"/>
                <w:kern w:val="0"/>
                <w:szCs w:val="21"/>
              </w:rPr>
              <w:t>（10分）</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楷体"/>
                <w:szCs w:val="21"/>
              </w:rPr>
            </w:pPr>
            <w:r>
              <w:rPr>
                <w:rFonts w:hint="eastAsia" w:ascii="宋体" w:hAnsi="宋体" w:eastAsia="宋体" w:cs="楷体"/>
                <w:kern w:val="0"/>
                <w:szCs w:val="21"/>
              </w:rPr>
              <w:t>比选申请人2021年1月1日至比选响应文件递交截止时止代理采购的货物及服务类的政府采购代理业绩，有1个业绩得</w:t>
            </w:r>
            <w:r>
              <w:rPr>
                <w:rFonts w:ascii="宋体" w:hAnsi="宋体" w:eastAsia="宋体" w:cs="楷体"/>
                <w:kern w:val="0"/>
                <w:szCs w:val="21"/>
              </w:rPr>
              <w:t>1</w:t>
            </w:r>
            <w:r>
              <w:rPr>
                <w:rFonts w:hint="eastAsia" w:ascii="宋体" w:hAnsi="宋体" w:eastAsia="宋体" w:cs="楷体"/>
                <w:kern w:val="0"/>
                <w:szCs w:val="21"/>
              </w:rPr>
              <w:t>分，最多10分（提供在四川政府采购网打印的中标结果公告或委托代理协议复印件）。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szCs w:val="21"/>
              </w:rPr>
            </w:pPr>
          </w:p>
        </w:tc>
      </w:tr>
      <w:tr>
        <w:tblPrEx>
          <w:tblLayout w:type="fixed"/>
          <w:tblCellMar>
            <w:top w:w="15" w:type="dxa"/>
            <w:left w:w="15" w:type="dxa"/>
            <w:bottom w:w="15" w:type="dxa"/>
            <w:right w:w="15" w:type="dxa"/>
          </w:tblCellMar>
        </w:tblPrEx>
        <w:trPr>
          <w:trHeight w:val="40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kern w:val="0"/>
                <w:szCs w:val="21"/>
              </w:rPr>
            </w:pPr>
            <w:r>
              <w:rPr>
                <w:rFonts w:hint="eastAsia" w:ascii="宋体" w:hAnsi="宋体" w:eastAsia="宋体" w:cs="楷体"/>
                <w:kern w:val="0"/>
                <w:szCs w:val="21"/>
              </w:rPr>
              <w:t>四</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kern w:val="0"/>
                <w:szCs w:val="21"/>
              </w:rPr>
            </w:pPr>
            <w:r>
              <w:rPr>
                <w:rFonts w:hint="eastAsia" w:ascii="宋体" w:hAnsi="宋体" w:eastAsia="宋体" w:cs="楷体"/>
                <w:kern w:val="0"/>
                <w:szCs w:val="21"/>
              </w:rPr>
              <w:t>企业荣誉及认证（1</w:t>
            </w:r>
            <w:r>
              <w:rPr>
                <w:rFonts w:ascii="宋体" w:hAnsi="宋体" w:eastAsia="宋体" w:cs="楷体"/>
                <w:kern w:val="0"/>
                <w:szCs w:val="21"/>
              </w:rPr>
              <w:t>0</w:t>
            </w:r>
            <w:r>
              <w:rPr>
                <w:rFonts w:hint="eastAsia" w:ascii="宋体" w:hAnsi="宋体" w:eastAsia="宋体" w:cs="楷体"/>
                <w:kern w:val="0"/>
                <w:szCs w:val="21"/>
              </w:rPr>
              <w:t>分）</w:t>
            </w:r>
          </w:p>
        </w:tc>
        <w:tc>
          <w:tcPr>
            <w:tcW w:w="5953" w:type="dxa"/>
            <w:tcBorders>
              <w:top w:val="single" w:color="000000" w:sz="4" w:space="0"/>
              <w:left w:val="single" w:color="000000" w:sz="4" w:space="0"/>
              <w:bottom w:val="single" w:color="000000" w:sz="4" w:space="0"/>
              <w:right w:val="single" w:color="000000" w:sz="4" w:space="0"/>
            </w:tcBorders>
            <w:vAlign w:val="center"/>
          </w:tcPr>
          <w:p>
            <w:pPr>
              <w:shd w:val="clear" w:color="auto" w:fill="FFFFFF"/>
              <w:wordWrap w:val="0"/>
              <w:rPr>
                <w:rFonts w:ascii="宋体" w:hAnsi="宋体" w:eastAsia="宋体" w:cs="楷体"/>
                <w:kern w:val="0"/>
                <w:szCs w:val="21"/>
              </w:rPr>
            </w:pPr>
            <w:r>
              <w:rPr>
                <w:rFonts w:ascii="宋体" w:hAnsi="宋体" w:eastAsia="宋体" w:cs="楷体"/>
                <w:kern w:val="0"/>
                <w:szCs w:val="21"/>
              </w:rPr>
              <w:t>1、</w:t>
            </w:r>
            <w:r>
              <w:rPr>
                <w:rFonts w:hint="eastAsia" w:ascii="宋体" w:hAnsi="宋体" w:eastAsia="宋体" w:cs="楷体"/>
                <w:kern w:val="0"/>
                <w:szCs w:val="21"/>
              </w:rPr>
              <w:t>比选申请人获得质量管理体系认证证书的，得</w:t>
            </w:r>
            <w:r>
              <w:rPr>
                <w:rFonts w:ascii="宋体" w:hAnsi="宋体" w:eastAsia="宋体" w:cs="楷体"/>
                <w:kern w:val="0"/>
                <w:szCs w:val="21"/>
              </w:rPr>
              <w:t>2</w:t>
            </w:r>
            <w:r>
              <w:rPr>
                <w:rFonts w:hint="eastAsia" w:ascii="宋体" w:hAnsi="宋体" w:eastAsia="宋体" w:cs="楷体"/>
                <w:kern w:val="0"/>
                <w:szCs w:val="21"/>
              </w:rPr>
              <w:t>分；获得环境管理体系认证证书的，得</w:t>
            </w:r>
            <w:r>
              <w:rPr>
                <w:rFonts w:ascii="宋体" w:hAnsi="宋体" w:eastAsia="宋体" w:cs="楷体"/>
                <w:kern w:val="0"/>
                <w:szCs w:val="21"/>
              </w:rPr>
              <w:t>2</w:t>
            </w:r>
            <w:r>
              <w:rPr>
                <w:rFonts w:hint="eastAsia" w:ascii="宋体" w:hAnsi="宋体" w:eastAsia="宋体" w:cs="楷体"/>
                <w:kern w:val="0"/>
                <w:szCs w:val="21"/>
              </w:rPr>
              <w:t>分；获得职业健康安全管理体系认证证书的，得</w:t>
            </w:r>
            <w:r>
              <w:rPr>
                <w:rFonts w:ascii="宋体" w:hAnsi="宋体" w:eastAsia="宋体" w:cs="楷体"/>
                <w:kern w:val="0"/>
                <w:szCs w:val="21"/>
              </w:rPr>
              <w:t>2</w:t>
            </w:r>
            <w:r>
              <w:rPr>
                <w:rFonts w:hint="eastAsia" w:ascii="宋体" w:hAnsi="宋体" w:eastAsia="宋体" w:cs="楷体"/>
                <w:kern w:val="0"/>
                <w:szCs w:val="21"/>
              </w:rPr>
              <w:t>分；（认证范围需包含政府采购内容，提供相关证书复印件，否则不予认定）</w:t>
            </w:r>
            <w:r>
              <w:rPr>
                <w:rFonts w:ascii="宋体" w:hAnsi="宋体" w:eastAsia="宋体" w:cs="楷体"/>
                <w:kern w:val="0"/>
                <w:szCs w:val="21"/>
              </w:rPr>
              <w:t>；</w:t>
            </w:r>
          </w:p>
          <w:p>
            <w:pPr>
              <w:shd w:val="clear" w:color="auto" w:fill="FFFFFF"/>
              <w:wordWrap w:val="0"/>
              <w:rPr>
                <w:rFonts w:ascii="宋体" w:hAnsi="宋体" w:eastAsia="宋体" w:cs="楷体"/>
                <w:kern w:val="0"/>
                <w:szCs w:val="21"/>
              </w:rPr>
            </w:pPr>
            <w:r>
              <w:rPr>
                <w:rFonts w:ascii="宋体" w:hAnsi="宋体" w:eastAsia="宋体" w:cs="楷体"/>
                <w:kern w:val="0"/>
                <w:szCs w:val="21"/>
              </w:rPr>
              <w:t>2</w:t>
            </w:r>
            <w:r>
              <w:rPr>
                <w:rFonts w:hint="eastAsia" w:ascii="宋体" w:hAnsi="宋体" w:eastAsia="宋体" w:cs="楷体"/>
                <w:kern w:val="0"/>
                <w:szCs w:val="21"/>
              </w:rPr>
              <w:t>、根据比选申请人</w:t>
            </w:r>
            <w:r>
              <w:rPr>
                <w:rFonts w:ascii="宋体" w:hAnsi="宋体" w:eastAsia="宋体" w:cs="楷体"/>
                <w:kern w:val="0"/>
                <w:szCs w:val="21"/>
              </w:rPr>
              <w:t>2015年</w:t>
            </w:r>
            <w:r>
              <w:rPr>
                <w:rFonts w:hint="eastAsia" w:ascii="宋体" w:hAnsi="宋体" w:eastAsia="宋体" w:cs="楷体"/>
                <w:kern w:val="0"/>
                <w:szCs w:val="21"/>
              </w:rPr>
              <w:t>1月1日至比选响应文件递交截止时止</w:t>
            </w:r>
            <w:r>
              <w:rPr>
                <w:rFonts w:ascii="宋体" w:hAnsi="宋体" w:eastAsia="宋体" w:cs="楷体"/>
                <w:kern w:val="0"/>
                <w:szCs w:val="21"/>
              </w:rPr>
              <w:t>获得</w:t>
            </w:r>
            <w:r>
              <w:rPr>
                <w:rFonts w:hint="eastAsia" w:ascii="宋体" w:hAnsi="宋体" w:eastAsia="宋体" w:cs="楷体"/>
                <w:kern w:val="0"/>
                <w:szCs w:val="21"/>
              </w:rPr>
              <w:t>政府采购相关主管部门或其指定公告媒体颁发</w:t>
            </w:r>
            <w:r>
              <w:rPr>
                <w:rFonts w:ascii="宋体" w:hAnsi="宋体" w:eastAsia="宋体" w:cs="楷体"/>
                <w:kern w:val="0"/>
                <w:szCs w:val="21"/>
              </w:rPr>
              <w:t>的</w:t>
            </w:r>
            <w:r>
              <w:rPr>
                <w:rFonts w:hint="eastAsia" w:ascii="宋体" w:hAnsi="宋体" w:eastAsia="宋体" w:cs="楷体"/>
                <w:kern w:val="0"/>
                <w:szCs w:val="21"/>
              </w:rPr>
              <w:t>荣誉证书数量（由多到少进行排序）进行评比：第一名的得</w:t>
            </w:r>
            <w:r>
              <w:rPr>
                <w:rFonts w:ascii="宋体" w:hAnsi="宋体" w:eastAsia="宋体" w:cs="楷体"/>
                <w:kern w:val="0"/>
                <w:szCs w:val="21"/>
              </w:rPr>
              <w:t>4</w:t>
            </w:r>
            <w:r>
              <w:rPr>
                <w:rFonts w:hint="eastAsia" w:ascii="宋体" w:hAnsi="宋体" w:eastAsia="宋体" w:cs="楷体"/>
                <w:kern w:val="0"/>
                <w:szCs w:val="21"/>
              </w:rPr>
              <w:t>分，第二名的得</w:t>
            </w:r>
            <w:r>
              <w:rPr>
                <w:rFonts w:ascii="宋体" w:hAnsi="宋体" w:eastAsia="宋体" w:cs="楷体"/>
                <w:kern w:val="0"/>
                <w:szCs w:val="21"/>
              </w:rPr>
              <w:t>3</w:t>
            </w:r>
            <w:r>
              <w:rPr>
                <w:rFonts w:hint="eastAsia" w:ascii="宋体" w:hAnsi="宋体" w:eastAsia="宋体" w:cs="楷体"/>
                <w:kern w:val="0"/>
                <w:szCs w:val="21"/>
              </w:rPr>
              <w:t>分，第三名的得</w:t>
            </w:r>
            <w:r>
              <w:rPr>
                <w:rFonts w:ascii="宋体" w:hAnsi="宋体" w:eastAsia="宋体" w:cs="楷体"/>
                <w:kern w:val="0"/>
                <w:szCs w:val="21"/>
              </w:rPr>
              <w:t>2</w:t>
            </w:r>
            <w:r>
              <w:rPr>
                <w:rFonts w:hint="eastAsia" w:ascii="宋体" w:hAnsi="宋体" w:eastAsia="宋体" w:cs="楷体"/>
                <w:kern w:val="0"/>
                <w:szCs w:val="21"/>
              </w:rPr>
              <w:t>分，</w:t>
            </w:r>
            <w:r>
              <w:rPr>
                <w:rFonts w:ascii="宋体" w:hAnsi="宋体" w:eastAsia="宋体" w:cs="楷体"/>
                <w:kern w:val="0"/>
                <w:szCs w:val="21"/>
              </w:rPr>
              <w:t>第</w:t>
            </w:r>
            <w:r>
              <w:rPr>
                <w:rFonts w:hint="eastAsia" w:ascii="宋体" w:hAnsi="宋体" w:eastAsia="宋体" w:cs="楷体"/>
                <w:kern w:val="0"/>
                <w:szCs w:val="21"/>
              </w:rPr>
              <w:t>四</w:t>
            </w:r>
            <w:r>
              <w:rPr>
                <w:rFonts w:ascii="宋体" w:hAnsi="宋体" w:eastAsia="宋体" w:cs="楷体"/>
                <w:kern w:val="0"/>
                <w:szCs w:val="21"/>
              </w:rPr>
              <w:t>名得1分，</w:t>
            </w:r>
            <w:r>
              <w:rPr>
                <w:rFonts w:hint="eastAsia" w:ascii="宋体" w:hAnsi="宋体" w:eastAsia="宋体" w:cs="楷体"/>
                <w:kern w:val="0"/>
                <w:szCs w:val="21"/>
              </w:rPr>
              <w:t>第五名</w:t>
            </w:r>
            <w:r>
              <w:rPr>
                <w:rFonts w:hint="eastAsia" w:ascii="宋体" w:hAnsi="宋体" w:eastAsia="宋体" w:cs="楷体"/>
                <w:szCs w:val="21"/>
              </w:rPr>
              <w:t>及以后</w:t>
            </w:r>
            <w:r>
              <w:rPr>
                <w:rFonts w:hint="eastAsia" w:ascii="宋体" w:hAnsi="宋体" w:eastAsia="宋体" w:cs="楷体"/>
                <w:kern w:val="0"/>
                <w:szCs w:val="21"/>
              </w:rPr>
              <w:t>得</w:t>
            </w:r>
            <w:r>
              <w:rPr>
                <w:rFonts w:ascii="宋体" w:hAnsi="宋体" w:eastAsia="宋体" w:cs="楷体"/>
                <w:kern w:val="0"/>
                <w:szCs w:val="21"/>
              </w:rPr>
              <w:t>0.5</w:t>
            </w:r>
            <w:r>
              <w:rPr>
                <w:rFonts w:hint="eastAsia" w:ascii="宋体" w:hAnsi="宋体" w:eastAsia="宋体" w:cs="楷体"/>
                <w:kern w:val="0"/>
                <w:szCs w:val="21"/>
              </w:rPr>
              <w:t>分。</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szCs w:val="21"/>
              </w:rPr>
            </w:pPr>
          </w:p>
        </w:tc>
      </w:tr>
      <w:tr>
        <w:tblPrEx>
          <w:tblLayout w:type="fixed"/>
          <w:tblCellMar>
            <w:top w:w="15" w:type="dxa"/>
            <w:left w:w="15" w:type="dxa"/>
            <w:bottom w:w="15" w:type="dxa"/>
            <w:right w:w="15" w:type="dxa"/>
          </w:tblCellMar>
        </w:tblPrEx>
        <w:trPr>
          <w:trHeight w:val="54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五</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szCs w:val="21"/>
              </w:rPr>
            </w:pPr>
            <w:r>
              <w:rPr>
                <w:rFonts w:hint="eastAsia" w:ascii="宋体" w:hAnsi="宋体" w:eastAsia="宋体" w:cs="楷体"/>
                <w:kern w:val="0"/>
                <w:szCs w:val="21"/>
              </w:rPr>
              <w:t>内部项目管理制度及采购代理服务方案（3</w:t>
            </w:r>
            <w:r>
              <w:rPr>
                <w:rFonts w:ascii="宋体" w:hAnsi="宋体" w:eastAsia="宋体" w:cs="楷体"/>
                <w:kern w:val="0"/>
                <w:szCs w:val="21"/>
              </w:rPr>
              <w:t>5</w:t>
            </w:r>
            <w:r>
              <w:rPr>
                <w:rFonts w:hint="eastAsia" w:ascii="宋体" w:hAnsi="宋体" w:eastAsia="宋体" w:cs="楷体"/>
                <w:kern w:val="0"/>
                <w:szCs w:val="21"/>
              </w:rPr>
              <w:t>分）</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楷体"/>
                <w:kern w:val="0"/>
                <w:szCs w:val="21"/>
              </w:rPr>
            </w:pPr>
            <w:r>
              <w:rPr>
                <w:rFonts w:hint="eastAsia" w:ascii="宋体" w:hAnsi="宋体" w:eastAsia="宋体" w:cs="楷体"/>
                <w:kern w:val="0"/>
                <w:szCs w:val="21"/>
              </w:rPr>
              <w:t>一、对比选申请人的</w:t>
            </w:r>
            <w:bookmarkStart w:id="17" w:name="_Hlk11704734"/>
            <w:r>
              <w:rPr>
                <w:rFonts w:hint="eastAsia" w:ascii="宋体" w:hAnsi="宋体" w:eastAsia="宋体" w:cs="楷体"/>
                <w:kern w:val="0"/>
                <w:szCs w:val="21"/>
              </w:rPr>
              <w:t>内部</w:t>
            </w:r>
            <w:bookmarkStart w:id="18" w:name="_Hlk11704598"/>
            <w:r>
              <w:rPr>
                <w:rFonts w:hint="eastAsia" w:ascii="宋体" w:hAnsi="宋体" w:eastAsia="宋体" w:cs="楷体"/>
                <w:kern w:val="0"/>
                <w:szCs w:val="21"/>
              </w:rPr>
              <w:t>项目管理制度</w:t>
            </w:r>
            <w:bookmarkEnd w:id="17"/>
            <w:bookmarkEnd w:id="18"/>
            <w:r>
              <w:rPr>
                <w:rFonts w:hint="eastAsia" w:ascii="宋体" w:hAnsi="宋体" w:eastAsia="宋体" w:cs="楷体"/>
                <w:kern w:val="0"/>
                <w:szCs w:val="21"/>
              </w:rPr>
              <w:t>进行评审：</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1、具有规范的采购文件编制管理制度的得</w:t>
            </w:r>
            <w:r>
              <w:rPr>
                <w:rFonts w:ascii="宋体" w:hAnsi="宋体" w:eastAsia="宋体" w:cs="楷体"/>
                <w:kern w:val="0"/>
                <w:szCs w:val="21"/>
              </w:rPr>
              <w:t>2</w:t>
            </w:r>
            <w:r>
              <w:rPr>
                <w:rFonts w:hint="eastAsia" w:ascii="宋体" w:hAnsi="宋体" w:eastAsia="宋体" w:cs="楷体"/>
                <w:kern w:val="0"/>
                <w:szCs w:val="21"/>
              </w:rPr>
              <w:t>分；</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2、具有明确的开标评标工作管理制度的得</w:t>
            </w:r>
            <w:r>
              <w:rPr>
                <w:rFonts w:ascii="宋体" w:hAnsi="宋体" w:eastAsia="宋体" w:cs="楷体"/>
                <w:kern w:val="0"/>
                <w:szCs w:val="21"/>
              </w:rPr>
              <w:t>2</w:t>
            </w:r>
            <w:r>
              <w:rPr>
                <w:rFonts w:hint="eastAsia" w:ascii="宋体" w:hAnsi="宋体" w:eastAsia="宋体" w:cs="楷体"/>
                <w:kern w:val="0"/>
                <w:szCs w:val="21"/>
              </w:rPr>
              <w:t>分；</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3、具有有效的质疑投诉举报处理管理制度的得</w:t>
            </w:r>
            <w:r>
              <w:rPr>
                <w:rFonts w:ascii="宋体" w:hAnsi="宋体" w:eastAsia="宋体" w:cs="楷体"/>
                <w:kern w:val="0"/>
                <w:szCs w:val="21"/>
              </w:rPr>
              <w:t>2</w:t>
            </w:r>
            <w:r>
              <w:rPr>
                <w:rFonts w:hint="eastAsia" w:ascii="宋体" w:hAnsi="宋体" w:eastAsia="宋体" w:cs="楷体"/>
                <w:kern w:val="0"/>
                <w:szCs w:val="21"/>
              </w:rPr>
              <w:t>分；</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4、具有规范的需求论证组织办法的得</w:t>
            </w:r>
            <w:r>
              <w:rPr>
                <w:rFonts w:ascii="宋体" w:hAnsi="宋体" w:eastAsia="宋体" w:cs="楷体"/>
                <w:kern w:val="0"/>
                <w:szCs w:val="21"/>
              </w:rPr>
              <w:t>2</w:t>
            </w:r>
            <w:r>
              <w:rPr>
                <w:rFonts w:hint="eastAsia" w:ascii="宋体" w:hAnsi="宋体" w:eastAsia="宋体" w:cs="楷体"/>
                <w:kern w:val="0"/>
                <w:szCs w:val="21"/>
              </w:rPr>
              <w:t>分；</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5、具有完善的项目档案管理制度的得</w:t>
            </w:r>
            <w:r>
              <w:rPr>
                <w:rFonts w:ascii="宋体" w:hAnsi="宋体" w:eastAsia="宋体" w:cs="楷体"/>
                <w:kern w:val="0"/>
                <w:szCs w:val="21"/>
              </w:rPr>
              <w:t>2</w:t>
            </w:r>
            <w:r>
              <w:rPr>
                <w:rFonts w:hint="eastAsia" w:ascii="宋体" w:hAnsi="宋体" w:eastAsia="宋体" w:cs="楷体"/>
                <w:kern w:val="0"/>
                <w:szCs w:val="21"/>
              </w:rPr>
              <w:t>分。</w:t>
            </w:r>
          </w:p>
          <w:p>
            <w:pPr>
              <w:widowControl/>
              <w:jc w:val="left"/>
              <w:textAlignment w:val="center"/>
              <w:rPr>
                <w:rFonts w:ascii="宋体" w:hAnsi="宋体" w:eastAsia="宋体" w:cs="楷体"/>
                <w:kern w:val="0"/>
                <w:szCs w:val="21"/>
              </w:rPr>
            </w:pPr>
            <w:r>
              <w:rPr>
                <w:rFonts w:hint="eastAsia" w:ascii="宋体" w:hAnsi="宋体" w:eastAsia="宋体" w:cs="楷体"/>
                <w:kern w:val="0"/>
                <w:szCs w:val="21"/>
              </w:rPr>
              <w:t>二、根据比选申请人的采购代理服务方案（包括采购方式、关键评分要素、采购过程中注意事项、采购人员配制、计划、工作周期、工作流程、质疑投诉举报处理、采购人权益保障及服务等）的质量水平进行综合排名。第一名得</w:t>
            </w:r>
            <w:r>
              <w:rPr>
                <w:rFonts w:ascii="宋体" w:hAnsi="宋体" w:eastAsia="宋体" w:cs="楷体"/>
                <w:kern w:val="0"/>
                <w:szCs w:val="21"/>
              </w:rPr>
              <w:t>25</w:t>
            </w:r>
            <w:r>
              <w:rPr>
                <w:rFonts w:hint="eastAsia" w:ascii="宋体" w:hAnsi="宋体" w:eastAsia="宋体" w:cs="楷体"/>
                <w:kern w:val="0"/>
                <w:szCs w:val="21"/>
              </w:rPr>
              <w:t>分，第二名得</w:t>
            </w:r>
            <w:r>
              <w:rPr>
                <w:rFonts w:ascii="宋体" w:hAnsi="宋体" w:eastAsia="宋体" w:cs="楷体"/>
                <w:kern w:val="0"/>
                <w:szCs w:val="21"/>
              </w:rPr>
              <w:t>20</w:t>
            </w:r>
            <w:r>
              <w:rPr>
                <w:rFonts w:hint="eastAsia" w:ascii="宋体" w:hAnsi="宋体" w:eastAsia="宋体" w:cs="楷体"/>
                <w:kern w:val="0"/>
                <w:szCs w:val="21"/>
              </w:rPr>
              <w:t>分，第三名得</w:t>
            </w:r>
            <w:r>
              <w:rPr>
                <w:rFonts w:ascii="宋体" w:hAnsi="宋体" w:eastAsia="宋体" w:cs="楷体"/>
                <w:kern w:val="0"/>
                <w:szCs w:val="21"/>
              </w:rPr>
              <w:t>15</w:t>
            </w:r>
            <w:r>
              <w:rPr>
                <w:rFonts w:hint="eastAsia" w:ascii="宋体" w:hAnsi="宋体" w:eastAsia="宋体" w:cs="楷体"/>
                <w:kern w:val="0"/>
                <w:szCs w:val="21"/>
              </w:rPr>
              <w:t>分，第四名</w:t>
            </w:r>
            <w:r>
              <w:rPr>
                <w:rFonts w:ascii="宋体" w:hAnsi="宋体" w:eastAsia="宋体" w:cs="楷体"/>
                <w:kern w:val="0"/>
                <w:szCs w:val="21"/>
              </w:rPr>
              <w:t>10</w:t>
            </w:r>
            <w:r>
              <w:rPr>
                <w:rFonts w:hint="eastAsia" w:ascii="宋体" w:hAnsi="宋体" w:eastAsia="宋体" w:cs="楷体"/>
                <w:kern w:val="0"/>
                <w:szCs w:val="21"/>
              </w:rPr>
              <w:t>分,第五名</w:t>
            </w:r>
            <w:r>
              <w:rPr>
                <w:rFonts w:ascii="宋体" w:hAnsi="宋体" w:eastAsia="宋体" w:cs="楷体"/>
                <w:kern w:val="0"/>
                <w:szCs w:val="21"/>
              </w:rPr>
              <w:t>5</w:t>
            </w:r>
            <w:r>
              <w:rPr>
                <w:rFonts w:hint="eastAsia" w:ascii="宋体" w:hAnsi="宋体" w:eastAsia="宋体" w:cs="楷体"/>
                <w:kern w:val="0"/>
                <w:szCs w:val="21"/>
              </w:rPr>
              <w:t>分。名次可并列。</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szCs w:val="21"/>
              </w:rPr>
            </w:pPr>
          </w:p>
        </w:tc>
      </w:tr>
      <w:bookmarkEnd w:id="16"/>
    </w:tbl>
    <w:p>
      <w:pPr>
        <w:adjustRightInd w:val="0"/>
        <w:snapToGrid w:val="0"/>
        <w:spacing w:line="360" w:lineRule="auto"/>
        <w:ind w:firstLine="560" w:firstLineChars="200"/>
        <w:rPr>
          <w:rFonts w:ascii="仿宋_GB2312" w:hAnsi="Times New Roman" w:eastAsia="仿宋_GB2312" w:cs="Times New Roman"/>
          <w:sz w:val="28"/>
          <w:szCs w:val="28"/>
        </w:rPr>
      </w:pPr>
    </w:p>
    <w:p>
      <w:pPr>
        <w:tabs>
          <w:tab w:val="left" w:pos="2142"/>
        </w:tabs>
        <w:spacing w:line="570" w:lineRule="exact"/>
        <w:rPr>
          <w:rFonts w:ascii="Times New Roman" w:hAnsi="Times New Roman" w:eastAsia="宋体" w:cs="Times New Roman"/>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F14F2"/>
    <w:multiLevelType w:val="singleLevel"/>
    <w:tmpl w:val="F02F14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633D0C"/>
    <w:rsid w:val="006B4B23"/>
    <w:rsid w:val="01B33103"/>
    <w:rsid w:val="027403DA"/>
    <w:rsid w:val="04482BCE"/>
    <w:rsid w:val="056260AA"/>
    <w:rsid w:val="081165B9"/>
    <w:rsid w:val="08626C87"/>
    <w:rsid w:val="0AB006EB"/>
    <w:rsid w:val="1162444E"/>
    <w:rsid w:val="19FA55B8"/>
    <w:rsid w:val="1AC6222B"/>
    <w:rsid w:val="1C5744BD"/>
    <w:rsid w:val="1DA57D48"/>
    <w:rsid w:val="20567118"/>
    <w:rsid w:val="24E574D0"/>
    <w:rsid w:val="2CCB4A91"/>
    <w:rsid w:val="313763B1"/>
    <w:rsid w:val="34C5504F"/>
    <w:rsid w:val="388D5153"/>
    <w:rsid w:val="39810322"/>
    <w:rsid w:val="439747DB"/>
    <w:rsid w:val="463B24C2"/>
    <w:rsid w:val="4F7F35A6"/>
    <w:rsid w:val="521D1BEF"/>
    <w:rsid w:val="53134063"/>
    <w:rsid w:val="53D5630F"/>
    <w:rsid w:val="5E7C0A41"/>
    <w:rsid w:val="611D0AAE"/>
    <w:rsid w:val="63ED6BCE"/>
    <w:rsid w:val="650A278F"/>
    <w:rsid w:val="68DF4F10"/>
    <w:rsid w:val="6A9E7082"/>
    <w:rsid w:val="6B740E9D"/>
    <w:rsid w:val="752D219E"/>
    <w:rsid w:val="75641A45"/>
    <w:rsid w:val="7BBD4D1D"/>
    <w:rsid w:val="7E5E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semiHidden/>
    <w:unhideWhenUsed/>
    <w:qFormat/>
    <w:uiPriority w:val="99"/>
    <w:rPr>
      <w:rFonts w:ascii="宋体" w:hAnsi="Courier New" w:eastAsia="宋体" w:cs="Courier New"/>
      <w:szCs w:val="21"/>
    </w:rPr>
  </w:style>
  <w:style w:type="paragraph" w:styleId="4">
    <w:name w:val="Normal Indent"/>
    <w:basedOn w:val="1"/>
    <w:qFormat/>
    <w:uiPriority w:val="0"/>
    <w:pPr>
      <w:ind w:firstLine="482"/>
    </w:p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_Style 3"/>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flName"/>
    <w:basedOn w:val="12"/>
    <w:qFormat/>
    <w:uiPriority w:val="0"/>
    <w:rPr>
      <w:sz w:val="32"/>
    </w:rPr>
  </w:style>
  <w:style w:type="paragraph" w:customStyle="1" w:styleId="12">
    <w:name w:val="flNote"/>
    <w:basedOn w:val="1"/>
    <w:qFormat/>
    <w:uiPriority w:val="0"/>
    <w:pPr>
      <w:spacing w:before="320" w:after="160"/>
      <w:jc w:val="center"/>
    </w:pPr>
    <w:rPr>
      <w:rFonts w:ascii="Arial" w:eastAsia="黑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Words>
  <Characters>2257</Characters>
  <Lines>18</Lines>
  <Paragraphs>5</Paragraphs>
  <TotalTime>3</TotalTime>
  <ScaleCrop>false</ScaleCrop>
  <LinksUpToDate>false</LinksUpToDate>
  <CharactersWithSpaces>2647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2022-02-18T04:00:18Z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96EC74489E1F438E8E7BBB796F40958F</vt:lpwstr>
  </property>
</Properties>
</file>