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cstheme="minorEastAsia"/>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拟采购一台COD在线监测设备，</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23</w:t>
      </w:r>
      <w:r>
        <w:rPr>
          <w:rFonts w:hint="eastAsia" w:asciiTheme="minorEastAsia" w:hAnsiTheme="minorEastAsia" w:eastAsiaTheme="minorEastAsia" w:cstheme="minorEastAsia"/>
          <w:i w:val="0"/>
          <w:caps w:val="0"/>
          <w:color w:val="auto"/>
          <w:spacing w:val="0"/>
          <w:sz w:val="28"/>
          <w:szCs w:val="28"/>
          <w:shd w:val="clear" w:fill="FFFFFF"/>
        </w:rPr>
        <w:t>日下午1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如果本次采购项目，存在不符合市场调查、资格主体异常、过程违规等情况，可以暂不采购，无义务向供应商解释具体原因。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4.2.2</w:t>
      </w:r>
      <w:r>
        <w:rPr>
          <w:rFonts w:hint="eastAsia" w:asciiTheme="minorEastAsia" w:hAnsiTheme="minorEastAsia" w:cstheme="minorEastAsia"/>
          <w:i w:val="0"/>
          <w:caps w:val="0"/>
          <w:color w:val="auto"/>
          <w:spacing w:val="0"/>
          <w:sz w:val="28"/>
          <w:szCs w:val="28"/>
          <w:shd w:val="clear" w:fill="FFFFFF"/>
          <w:lang w:val="en-US" w:eastAsia="zh-CN"/>
        </w:rPr>
        <w:t xml:space="preserve"> COD在线监测设备相关资质（中国环境保护产品认证证书、环境保护部环境监测仪器质量监督检验中心出具的检测报告、中国测试技术研究院出具的测试报告等）；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如国家规定的其它相关资质证明文件或其它涉及特许经营许可的须提供相关证书。如：卫生许可证、药品经营许可证、生产批件或新药证书等；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w:t>
      </w:r>
      <w:r>
        <w:rPr>
          <w:rFonts w:hint="eastAsia" w:asciiTheme="minorEastAsia" w:hAnsiTheme="minorEastAsia" w:cstheme="minorEastAsia"/>
          <w:i w:val="0"/>
          <w:caps w:val="0"/>
          <w:color w:val="auto"/>
          <w:spacing w:val="0"/>
          <w:sz w:val="28"/>
          <w:szCs w:val="28"/>
          <w:shd w:val="clear" w:fill="FFFFFF"/>
          <w:lang w:val="en-US" w:eastAsia="zh-CN"/>
        </w:rPr>
        <w:t>5</w:t>
      </w:r>
      <w:r>
        <w:rPr>
          <w:rFonts w:hint="eastAsia" w:asciiTheme="minorEastAsia" w:hAnsiTheme="minorEastAsia" w:eastAsiaTheme="minorEastAsia" w:cstheme="minorEastAsia"/>
          <w:i w:val="0"/>
          <w:caps w:val="0"/>
          <w:color w:val="auto"/>
          <w:spacing w:val="0"/>
          <w:sz w:val="28"/>
          <w:szCs w:val="28"/>
          <w:shd w:val="clear" w:fill="FFFFFF"/>
        </w:rPr>
        <w:t>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w:t>
      </w:r>
      <w:r>
        <w:rPr>
          <w:rFonts w:hint="eastAsia" w:asciiTheme="minorEastAsia" w:hAnsiTheme="minorEastAsia" w:cstheme="minorEastAsia"/>
          <w:i w:val="0"/>
          <w:caps w:val="0"/>
          <w:color w:val="auto"/>
          <w:spacing w:val="0"/>
          <w:sz w:val="28"/>
          <w:szCs w:val="28"/>
          <w:shd w:val="clear" w:fill="FFFFFF"/>
          <w:lang w:val="en-US" w:eastAsia="zh-CN"/>
        </w:rPr>
        <w:t>6</w:t>
      </w:r>
      <w:r>
        <w:rPr>
          <w:rFonts w:hint="eastAsia" w:asciiTheme="minorEastAsia" w:hAnsiTheme="minorEastAsia" w:eastAsiaTheme="minorEastAsia" w:cstheme="minorEastAsia"/>
          <w:i w:val="0"/>
          <w:caps w:val="0"/>
          <w:color w:val="auto"/>
          <w:spacing w:val="0"/>
          <w:sz w:val="28"/>
          <w:szCs w:val="28"/>
          <w:shd w:val="clear" w:fill="FFFFFF"/>
        </w:rPr>
        <w:t>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须提供近三年内，在国内、川内所投产品交易情况一览表及相关证明文件；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w:t>
      </w:r>
      <w:r>
        <w:rPr>
          <w:rFonts w:hint="eastAsia" w:asciiTheme="minorEastAsia" w:hAnsi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能满足合同规定的配送和服务要求，在成都市范围内有完善的供货渠道和服务体系，能满足采购人的采购服务需求，并提供相关证明文件；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w:t>
      </w:r>
      <w:r>
        <w:rPr>
          <w:rFonts w:hint="eastAsia" w:asciiTheme="minorEastAsia" w:hAnsiTheme="minorEastAsia" w:cstheme="minorEastAsia"/>
          <w:i w:val="0"/>
          <w:caps w:val="0"/>
          <w:color w:val="auto"/>
          <w:spacing w:val="0"/>
          <w:sz w:val="28"/>
          <w:szCs w:val="28"/>
          <w:shd w:val="clear" w:fill="FFFFFF"/>
          <w:lang w:val="en-US" w:eastAsia="zh-CN"/>
        </w:rPr>
        <w:t>9</w:t>
      </w:r>
      <w:r>
        <w:rPr>
          <w:rFonts w:hint="eastAsia" w:asciiTheme="minorEastAsia" w:hAnsiTheme="minorEastAsia" w:eastAsiaTheme="minorEastAsia" w:cstheme="minorEastAsia"/>
          <w:i w:val="0"/>
          <w:caps w:val="0"/>
          <w:color w:val="auto"/>
          <w:spacing w:val="0"/>
          <w:sz w:val="28"/>
          <w:szCs w:val="28"/>
          <w:shd w:val="clear" w:fill="FFFFFF"/>
        </w:rPr>
        <w:t>具有良好的商业信誉和健全的财务会计制度；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w:t>
      </w:r>
      <w:r>
        <w:rPr>
          <w:rFonts w:hint="eastAsia" w:asciiTheme="minorEastAsia" w:hAnsiTheme="minorEastAsia" w:cstheme="minorEastAsia"/>
          <w:i w:val="0"/>
          <w:caps w:val="0"/>
          <w:color w:val="auto"/>
          <w:spacing w:val="0"/>
          <w:sz w:val="28"/>
          <w:szCs w:val="28"/>
          <w:shd w:val="clear" w:fill="FFFFFF"/>
          <w:lang w:val="en-US" w:eastAsia="zh-CN"/>
        </w:rPr>
        <w:t>0</w:t>
      </w:r>
      <w:r>
        <w:rPr>
          <w:rFonts w:hint="eastAsia" w:asciiTheme="minorEastAsia" w:hAnsiTheme="minorEastAsia" w:eastAsiaTheme="minorEastAsia" w:cstheme="minorEastAsia"/>
          <w:i w:val="0"/>
          <w:caps w:val="0"/>
          <w:color w:val="auto"/>
          <w:spacing w:val="0"/>
          <w:sz w:val="28"/>
          <w:szCs w:val="28"/>
          <w:shd w:val="clear" w:fill="FFFFFF"/>
        </w:rPr>
        <w:t>具有履行合同所必须的设备和专业技术能力。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参会供应商应承诺能够按照采购人要求及时签署合同，按照购销合同规定的品牌、产地、质量、价格、规格、有效期及时供货。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参会供应商应承诺，对采购人认为必要的实地考察进行相应的协助。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参会供应商应在采购文件书中按采购公告的规定和要求附上所有的资格证明文件，要求提供复印件的必须加盖单位印章，并在必要时提供原件备查。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.1采购报价文件书的编制、装订：根据要求及自身实际用A4纸编制，严格按照要求进行装订。提供的所有资料须加盖鲜章，并按要求密封，若有分包招采，需分包密封。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23</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采购项目需求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xml:space="preserve">. </w:t>
      </w:r>
      <w:bookmarkStart w:id="1" w:name="_GoBack"/>
      <w:bookmarkEnd w:id="1"/>
      <w:r>
        <w:rPr>
          <w:rFonts w:hint="eastAsia" w:asciiTheme="minorEastAsia" w:hAnsiTheme="minorEastAsia" w:eastAsiaTheme="minorEastAsia" w:cstheme="minorEastAsia"/>
          <w:i w:val="0"/>
          <w:caps w:val="0"/>
          <w:color w:val="auto"/>
          <w:spacing w:val="0"/>
          <w:sz w:val="28"/>
          <w:szCs w:val="28"/>
          <w:shd w:val="clear" w:fill="FFFFFF"/>
        </w:rPr>
        <w:t>主要表格格式</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tl w:val="0"/>
          <w:lang w:val="en-US"/>
        </w:rPr>
      </w:pPr>
      <w:r>
        <w:rPr>
          <w:rFonts w:hint="eastAsia" w:asciiTheme="minorEastAsia" w:hAnsiTheme="minorEastAsia" w:eastAsiaTheme="minorEastAsia" w:cstheme="minorEastAsia"/>
          <w:sz w:val="28"/>
          <w:szCs w:val="28"/>
          <w:rtl w:val="0"/>
          <w:lang w:val="en-US" w:eastAsia="zh-CN"/>
        </w:rPr>
        <w:t>设备名称：</w:t>
      </w:r>
      <w:r>
        <w:rPr>
          <w:rFonts w:hint="eastAsia" w:asciiTheme="minorEastAsia" w:hAnsiTheme="minorEastAsia" w:eastAsiaTheme="minorEastAsia" w:cstheme="minorEastAsia"/>
          <w:sz w:val="28"/>
          <w:szCs w:val="28"/>
        </w:rPr>
        <w:t>COD在线监测设备（含化学需氧量水质自动监测仪软件）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tl w:val="0"/>
          <w:lang w:val="en-US" w:eastAsia="zh-CN"/>
        </w:rPr>
      </w:pPr>
      <w:r>
        <w:rPr>
          <w:rFonts w:hint="eastAsia" w:asciiTheme="minorEastAsia" w:hAnsiTheme="minorEastAsia" w:eastAsiaTheme="minorEastAsia" w:cstheme="minorEastAsia"/>
          <w:sz w:val="28"/>
          <w:szCs w:val="28"/>
          <w:rtl w:val="0"/>
          <w:lang w:val="en-US" w:eastAsia="zh-CN"/>
        </w:rPr>
        <w:t>数量：1套</w:t>
      </w:r>
    </w:p>
    <w:p>
      <w:pPr>
        <w:pStyle w:val="3"/>
        <w:pageBreakBefore w:val="0"/>
        <w:kinsoku/>
        <w:wordWrap/>
        <w:overflowPunct/>
        <w:topLinePunct w:val="0"/>
        <w:bidi w:val="0"/>
        <w:spacing w:before="0"/>
        <w:ind w:left="0"/>
        <w:jc w:val="both"/>
        <w:textAlignment w:val="auto"/>
        <w:outlineLvl w:val="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设备技术参数：</w:t>
      </w:r>
    </w:p>
    <w:p>
      <w:pPr>
        <w:pageBreakBefore w:val="0"/>
        <w:kinsoku/>
        <w:wordWrap/>
        <w:overflowPunct/>
        <w:topLinePunct w:val="0"/>
        <w:bidi w:val="0"/>
        <w:spacing w:line="240" w:lineRule="auto"/>
        <w:ind w:left="0"/>
        <w:jc w:val="left"/>
        <w:textAlignment w:val="auto"/>
        <w:outlineLvl w:val="1"/>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b w:val="0"/>
          <w:bCs w:val="0"/>
          <w:sz w:val="21"/>
          <w:szCs w:val="21"/>
        </w:rPr>
        <w:t>化学需氧量在线监测仪</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sz w:val="21"/>
          <w:szCs w:val="21"/>
        </w:rPr>
        <w:t>中国环境保护产品认证证书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环境保护部环境监测仪器质量监督检验中心出具的检测报告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中国测试技术研究院出具的测试报告</w:t>
      </w:r>
      <w:r>
        <w:rPr>
          <w:rFonts w:hint="eastAsia" w:asciiTheme="minorEastAsia" w:hAnsiTheme="minorEastAsia" w:eastAsiaTheme="minorEastAsia" w:cstheme="minorEastAsia"/>
          <w:sz w:val="21"/>
          <w:szCs w:val="21"/>
          <w:lang w:eastAsia="zh-CN"/>
        </w:rPr>
        <w:t>）</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测量范围：(0～200/1000/5000) mg/L </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测量原理：重铬酸钾高温消解分光光度法</w:t>
      </w:r>
    </w:p>
    <w:p>
      <w:pPr>
        <w:pageBreakBefore w:val="0"/>
        <w:numPr>
          <w:ilvl w:val="0"/>
          <w:numId w:val="1"/>
        </w:numPr>
        <w:kinsoku/>
        <w:wordWrap/>
        <w:overflowPunct/>
        <w:topLinePunct w:val="0"/>
        <w:bidi w:val="0"/>
        <w:spacing w:line="24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重复性:≤1%（环境保护部环境监测仪器质量监督检验中心出具的检测报告为准）</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零点漂移：±2.5mg/L（环境保护部环境监测仪器质量监督检验中心出具的检测报告为准）</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量程漂移：±1%（环境保护部环境监测仪器质量监督检验中心出具的检测报告为准）</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示值误差：±5%（环境保护部环境监测仪器质量监督检验中心出具的检测报告为准）</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记忆效应：≤1 mg/L（环境保护部环境监测仪器质量监督检验中心出具的检测报告为准）</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电压干扰：±0.5%（环境保护部环境监测仪器质量监督检验中心出具的检测报告为准）</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环境温度实验：±2%（环境保护部环境监测仪器质量监督检验中心出具的检测报告为准）</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一致性：≤8.3%（环境保护部环境监测仪器质量监督检验中心出具的检测报告为准）</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实际废水样品比对实验：COD≥50 mg/L，相对误差≤4%；COD＜50 mg/L，绝对误差≤3mg/L（环境保护部环境监测仪器质量监督检验中心出具的检测报告为准）</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最小维护周期：≥168h（环境保护部环境监测仪器质量监督检验中心出具的检测报告为准）</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数据有效率：≥95%（环境保护部环境监测仪器质量监督检验中心出具的检测报告为准）</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检出限：</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sz w:val="21"/>
          <w:szCs w:val="21"/>
        </w:rPr>
        <w:t>4.0 mg/L</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测量周期：</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35min</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测量模式：整点测试；连续测试</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数据通讯：RS232/RS485/USB/触发监控</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模拟输出：(4～20)mA</w:t>
      </w:r>
    </w:p>
    <w:p>
      <w:pPr>
        <w:pageBreakBefore w:val="0"/>
        <w:numPr>
          <w:ilvl w:val="0"/>
          <w:numId w:val="1"/>
        </w:numPr>
        <w:kinsoku/>
        <w:wordWrap/>
        <w:overflowPunct/>
        <w:topLinePunct w:val="0"/>
        <w:bidi w:val="0"/>
        <w:spacing w:line="24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屏幕显示：</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sz w:val="21"/>
          <w:szCs w:val="21"/>
        </w:rPr>
        <w:t>7英寸彩色触摸屏</w:t>
      </w:r>
    </w:p>
    <w:p>
      <w:pPr>
        <w:pStyle w:val="2"/>
        <w:pageBreakBefore w:val="0"/>
        <w:kinsoku/>
        <w:wordWrap/>
        <w:overflowPunct/>
        <w:topLinePunct w:val="0"/>
        <w:bidi w:val="0"/>
        <w:spacing w:before="0" w:after="0" w:line="240"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功能：</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具有自动标定曲线功能、标液核查功能、自动校准曲线功能；（提供省级及以上质量监督检验机构出具的有效检验测试报告复印件）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量程自动切换功能，当测量值小于当前量程80%时，仪器自动由当前量程切换至低量程；当测量值大于当前量程时，仪器自动由当前量程切换至高量程；（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具有故障异常报警和超限报警功能；（提供省级及以上质量监督检验机构出具的有效检验测试报告复印件）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具有数据处理，数据实时在线传输功能和数据保存功能，仪器自动存贮数据，可有效存贮5年历史数据；（提供省级及以上质量监督检验机构出具的有效检验测试报告复印件）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可将历史测量数据以表格格式导出U盘，方便用户进行数据处理分析；（提供省级及以上质量监督检验机构出具的有效检验测试报告复印件）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具有断电保护功能和异常复位功能；（提供省级及以上质量监督检验机构出具的有效检验测试报告复印件）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具有外控触发启动功能；（提供省级及以上质量监督检验机构出具的有效检验测试报告复印件）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具有实时测量数据打印功能，可实时打印测量数据，并记录测量时间、测量指标、测量单位及测量单位；（提供省级及以上质量监督检验机构出具的有效检验测试报告复印件）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具有水源监控功能和间排自启功能（提供省级及以上质量监督检验机构出具的有效检验测试报告复印件）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拥有内嵌水样预处采集装置，可对水样中大颗粒物质进行有效处理，确保测量数据准确性（提供省级及以上质量监督检验机构出具的有效检验测试报告复印件）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具有标液有效期监控功能；（提供省级及以上质量监督检验机构出具的有效检验测试报告复印件）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具有试剂余量监控查询功能；（提供省级及以上质量监督检验机构出具的有效检验测试报告复印件）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具有站内IP组网功能（提供省级及以上质量监督检验机构出具的有效检验测试报告复印件）；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具有远程监控、维护功能（提供省级及以上质量监督检验机构出具的有效检验测试报告复印件）；</w:t>
      </w:r>
    </w:p>
    <w:p>
      <w:pPr>
        <w:pStyle w:val="3"/>
        <w:pageBreakBefore w:val="0"/>
        <w:numPr>
          <w:ilvl w:val="0"/>
          <w:numId w:val="2"/>
        </w:numPr>
        <w:kinsoku/>
        <w:wordWrap/>
        <w:overflowPunct/>
        <w:topLinePunct w:val="0"/>
        <w:bidi w:val="0"/>
        <w:spacing w:before="0" w:line="24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具有软件远程升级功能（提供省级及以上质量监督检验机构出具的有效检验测试报告复印件）；</w:t>
      </w:r>
    </w:p>
    <w:p>
      <w:pPr>
        <w:pStyle w:val="13"/>
        <w:pageBreakBefore w:val="0"/>
        <w:kinsoku/>
        <w:wordWrap/>
        <w:overflowPunct/>
        <w:topLinePunct w:val="0"/>
        <w:bidi w:val="0"/>
        <w:adjustRightInd w:val="0"/>
        <w:snapToGrid w:val="0"/>
        <w:spacing w:line="240" w:lineRule="auto"/>
        <w:ind w:left="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rPr>
        <w:t xml:space="preserve">1 </w:t>
      </w:r>
      <w:r>
        <w:rPr>
          <w:rFonts w:hint="eastAsia" w:asciiTheme="minorEastAsia" w:hAnsiTheme="minorEastAsia" w:eastAsiaTheme="minorEastAsia" w:cstheme="minorEastAsia"/>
          <w:color w:val="000000"/>
          <w:sz w:val="21"/>
          <w:szCs w:val="21"/>
        </w:rPr>
        <w:t xml:space="preserve"> 通信接口</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监测仪具有RS232、RS485、4-20mA、USB接口及IO触发监控接口。</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自动分析</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监测仪具有自动控制采样，自动定时分析及自动连续分析功能。</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  自动标定</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监测仪具有自动标定曲线功能，当仪器初次运行或需要重新标定曲线时，仪器会按设置标液浓度进行自动标定曲线。</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 标液核查</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监测仪具有标液核查功能，仪器可设置每天、每周、每月进行自动标液核查，并可在核查信息里查询核查结果，计算误差。</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自动校准</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监测仪具有自动校准曲线功能，当监测仪标液核查误差大于10%时，仪器会自动校准曲线，保证测量结果准确性。</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 量程自动切换</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监测仪具有量程自动切换功能，当测量值小于当前量程80%时，仪器自动由当前量程切换至低量程；当测量值大于当前量程时，仪器自动由当前量程切换至高量程。</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 故障异常报警、超限报警</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监测仪具有故障异常报警和超限报警功能。</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 数据处理、在线传输及数据保存功能</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监测仪具有数据处理，数据实时在线传输功能及数据保存功能，仪器可以自动存贮数据，可有效存贮</w:t>
      </w:r>
      <w:r>
        <w:rPr>
          <w:rFonts w:hint="eastAsia" w:asciiTheme="minorEastAsia" w:hAnsiTheme="minorEastAsia" w:eastAsiaTheme="minorEastAsia" w:cstheme="minorEastAsia"/>
          <w:b/>
          <w:bCs/>
          <w:color w:val="000000"/>
          <w:sz w:val="21"/>
          <w:szCs w:val="21"/>
        </w:rPr>
        <w:t>5年</w:t>
      </w:r>
      <w:r>
        <w:rPr>
          <w:rFonts w:hint="eastAsia" w:asciiTheme="minorEastAsia" w:hAnsiTheme="minorEastAsia" w:eastAsiaTheme="minorEastAsia" w:cstheme="minorEastAsia"/>
          <w:color w:val="000000"/>
          <w:sz w:val="21"/>
          <w:szCs w:val="21"/>
        </w:rPr>
        <w:t xml:space="preserve">历史数据。                                                                         </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 数据导出U盘</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监测仪具有数据导出U盘功能，可将历史测量数据以表格格式导出U盘，方便用户进行数据处理分析。</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 内嵌水样预处采集装置</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监测仪具有内嵌水样预处采集装置，可对水样中大颗粒物质进行有效处理，确保测量数据准确性。</w:t>
      </w:r>
    </w:p>
    <w:p>
      <w:pPr>
        <w:pStyle w:val="13"/>
        <w:pageBreakBefore w:val="0"/>
        <w:kinsoku/>
        <w:wordWrap/>
        <w:overflowPunct/>
        <w:topLinePunct w:val="0"/>
        <w:bidi w:val="0"/>
        <w:adjustRightInd w:val="0"/>
        <w:snapToGrid w:val="0"/>
        <w:spacing w:line="240" w:lineRule="auto"/>
        <w:ind w:left="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rPr>
        <w:t>11</w:t>
      </w:r>
      <w:r>
        <w:rPr>
          <w:rFonts w:hint="eastAsia" w:asciiTheme="minorEastAsia" w:hAnsiTheme="minorEastAsia" w:eastAsiaTheme="minorEastAsia" w:cstheme="minorEastAsia"/>
          <w:color w:val="000000"/>
          <w:sz w:val="21"/>
          <w:szCs w:val="21"/>
        </w:rPr>
        <w:t>断电保护</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color w:val="000000"/>
          <w:sz w:val="21"/>
          <w:szCs w:val="21"/>
        </w:rPr>
        <w:t>监测仪具有断电保护功能，仪器正常工作时可存储最后的通道切换命令，当突发情况发生断电后，设备仍将保存此命令，待接电后自动恢复测量状态。</w:t>
      </w:r>
    </w:p>
    <w:p>
      <w:pPr>
        <w:pStyle w:val="15"/>
        <w:pageBreakBefore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rPr>
        <w:t>12</w:t>
      </w:r>
      <w:r>
        <w:rPr>
          <w:rFonts w:hint="eastAsia" w:asciiTheme="minorEastAsia" w:hAnsiTheme="minorEastAsia" w:eastAsiaTheme="minorEastAsia" w:cstheme="minorEastAsia"/>
          <w:color w:val="000000"/>
          <w:sz w:val="21"/>
          <w:szCs w:val="21"/>
        </w:rPr>
        <w:t>异常复位</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监测仪具有异常复位功能，该功能在仪器出现异常时自动复位，清洗。</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 水源监控</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 xml:space="preserve"> 监测仪具有水源监控功能，指对采水源是否有水进行监测，仪器只能在监测反馈有采水的情况下，按用户设置进行整点运行或连续运行。</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 间排自启</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监测仪具有间歇性排水自动启动测量功能，使仪器测量时间不受测量时间设置限制，只在水源监控从“无水”到“有水”排放状态切变时，自启进行测量。</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 标液有效期监控</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监测仪具有标液有效期监控功能，到达有效期设置日期，仪器自动提醒用户更换标液。</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 试剂余量监控查询</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监测仪具有试剂余量监控查询功能，试剂余量不足时仪器自动提醒用户更换添加试剂。</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 监测仪具有初始上液功能，更换添加试剂后，仪器可一键自动上液。</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 监测仪具有外控触发启动功能，该功能是根据IO检测状态可配置为远程触发启动仪器进行测量。</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 监测仪具有实时测量数据打印功能，该功能可实时打印测量数据，并记录测量时间，测量指标、测量结果及测量单位。</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 监测仪具有远程监控功能，通过ETHERNET口、GPRS口等实现对设备的远程监控和维护。（云保姆系统可提供相关计算机软件著作权登记证书）</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 监测仪具有软件远程升级功能，CPU核心板可拆卸，可根据实际情况对软件版本进行远程升级。</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 可实现仪器开门记录</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 双风扇降温系统，更符合空气动力学，降温效果明显。</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 仪器带LED灯状态显示功能，直观显示仪器当前状态（开机、待机、测量等状态）。</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 主界面显示当前测量指标，当前测量值，一目了然。</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 扩展功能 监测仪预留法兰接口，可按用户需求扩展其他功能。</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27 整体式安装，也可采用分体式、壁挂式安装方式，安装方式多样，适合多种现场环境。</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28 搬运轻松、易于移动</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监测仪机柜带提手，方便搬运。机柜底部自带脚轮，易于移动。</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29 模块化设计</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工艺面板模块化设计，可整体拆卸，更换。各型号仪器可仍意进行更换工艺面板组件，实现仪器间互换。</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 废液分离排放：（选配，请咨询业务经理）</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具备清洗废水与化学废液分离排放功能。</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 照明系统</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 进样方式</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 自带网关功能</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其他：</w:t>
      </w:r>
    </w:p>
    <w:p>
      <w:pPr>
        <w:pStyle w:val="15"/>
        <w:pageBreakBefore w:val="0"/>
        <w:numPr>
          <w:ilvl w:val="0"/>
          <w:numId w:val="3"/>
        </w:numPr>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整体式开关：开关自带滤波、保险功能，安全稳定、体积小。</w:t>
      </w:r>
    </w:p>
    <w:p>
      <w:pPr>
        <w:pStyle w:val="15"/>
        <w:pageBreakBefore w:val="0"/>
        <w:numPr>
          <w:ilvl w:val="0"/>
          <w:numId w:val="3"/>
        </w:numPr>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固态继电器：使用寿命长、功率负载大。</w:t>
      </w:r>
    </w:p>
    <w:p>
      <w:pPr>
        <w:pStyle w:val="15"/>
        <w:pageBreakBefore w:val="0"/>
        <w:numPr>
          <w:ilvl w:val="0"/>
          <w:numId w:val="3"/>
        </w:numPr>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多通道环形阀组：流路短、死体积小。</w:t>
      </w:r>
    </w:p>
    <w:p>
      <w:pPr>
        <w:pStyle w:val="15"/>
        <w:pageBreakBefore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注：采用多通道环形阀组，公用通道更短，残留更少；</w:t>
      </w:r>
    </w:p>
    <w:p>
      <w:pPr>
        <w:pStyle w:val="15"/>
        <w:pageBreakBefore w:val="0"/>
        <w:numPr>
          <w:ilvl w:val="0"/>
          <w:numId w:val="3"/>
        </w:numPr>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高压阀：采用隔膜阀设计，膜片采用特种氟橡胶，阀体采用PTFE材质、可耐高温、高压、耐强酸、强碱腐蚀，可承受</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b/>
          <w:bCs/>
          <w:color w:val="000000"/>
          <w:sz w:val="21"/>
          <w:szCs w:val="21"/>
          <w:u w:val="single"/>
        </w:rPr>
        <w:t>1.5Mpa</w:t>
      </w:r>
      <w:r>
        <w:rPr>
          <w:rFonts w:hint="eastAsia" w:asciiTheme="minorEastAsia" w:hAnsiTheme="minorEastAsia" w:eastAsiaTheme="minorEastAsia" w:cstheme="minorEastAsia"/>
          <w:color w:val="000000"/>
          <w:sz w:val="21"/>
          <w:szCs w:val="21"/>
        </w:rPr>
        <w:t>压力。</w:t>
      </w:r>
    </w:p>
    <w:p>
      <w:pPr>
        <w:pStyle w:val="15"/>
        <w:pageBreakBefore w:val="0"/>
        <w:numPr>
          <w:ilvl w:val="0"/>
          <w:numId w:val="3"/>
        </w:numPr>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线性电源：通过滤除DC/DC开关转换所固有的输出电压纹波，可确保在灵敏仪器仪表应用中将系统性能最大化。</w:t>
      </w:r>
    </w:p>
    <w:p>
      <w:pPr>
        <w:pStyle w:val="15"/>
        <w:pageBreakBefore w:val="0"/>
        <w:numPr>
          <w:ilvl w:val="0"/>
          <w:numId w:val="3"/>
        </w:numPr>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消解室：采用石英材质定制而成，透光性好。</w:t>
      </w:r>
    </w:p>
    <w:p>
      <w:pPr>
        <w:pStyle w:val="15"/>
        <w:pageBreakBefore w:val="0"/>
        <w:numPr>
          <w:ilvl w:val="0"/>
          <w:numId w:val="3"/>
        </w:numPr>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进口管路：cole parmer PFA 管路，内壁光滑，最大程度较小管路残留。</w:t>
      </w:r>
    </w:p>
    <w:p>
      <w:pPr>
        <w:pStyle w:val="15"/>
        <w:pageBreakBefore w:val="0"/>
        <w:numPr>
          <w:ilvl w:val="0"/>
          <w:numId w:val="3"/>
        </w:numPr>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光电转换盒：自主设计的光电转换盒，实现光源实时校准补偿、大大降低光源衰减对测量的影响。</w:t>
      </w:r>
    </w:p>
    <w:p>
      <w:pPr>
        <w:pStyle w:val="15"/>
        <w:pageBreakBefore w:val="0"/>
        <w:numPr>
          <w:ilvl w:val="0"/>
          <w:numId w:val="3"/>
        </w:numPr>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机箱自带减振垫:有效防止长途运输过程中振动对仪器的影响。</w:t>
      </w:r>
    </w:p>
    <w:p>
      <w:pPr>
        <w:pStyle w:val="15"/>
        <w:pageBreakBefore w:val="0"/>
        <w:numPr>
          <w:ilvl w:val="0"/>
          <w:numId w:val="3"/>
        </w:numPr>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彩色触摸屏： CPU（主频</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600MHz）的嵌入式一体化触摸屏。</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7英寸高亮度TFT液晶显示屏（分辨率</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800×480），四线电阻式触摸屏（分辨率</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4096×4096）。</w:t>
      </w:r>
    </w:p>
    <w:p>
      <w:pPr>
        <w:pageBreakBefore w:val="0"/>
        <w:kinsoku/>
        <w:wordWrap/>
        <w:overflowPunct/>
        <w:topLinePunct w:val="0"/>
        <w:bidi w:val="0"/>
        <w:spacing w:line="240" w:lineRule="auto"/>
        <w:ind w:left="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自适应红外计量技术：无需设置参数，可根据红外光电信号自动判断液位信号。</w:t>
      </w:r>
    </w:p>
    <w:p>
      <w:pPr>
        <w:pStyle w:val="3"/>
        <w:rPr>
          <w:rFonts w:hint="default"/>
        </w:rPr>
      </w:pPr>
    </w:p>
    <w:p>
      <w:pPr>
        <w:pStyle w:val="3"/>
        <w:rPr>
          <w:rFonts w:hint="default"/>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eastAsia" w:ascii="Times New Roman" w:hAnsi="Times New Roman" w:eastAsia="黑体" w:cs="Times New Roman"/>
          <w:color w:val="333333"/>
          <w:kern w:val="0"/>
          <w:sz w:val="32"/>
          <w:szCs w:val="32"/>
          <w:lang w:eastAsia="zh-CN"/>
        </w:rPr>
      </w:pPr>
      <w:r>
        <w:rPr>
          <w:rFonts w:hint="default" w:ascii="Times New Roman" w:hAnsi="Times New Roman" w:eastAsia="黑体" w:cs="Times New Roman"/>
          <w:color w:val="333333"/>
          <w:kern w:val="0"/>
          <w:sz w:val="32"/>
          <w:szCs w:val="32"/>
        </w:rPr>
        <w:t>附件</w:t>
      </w:r>
      <w:r>
        <w:rPr>
          <w:rFonts w:hint="eastAsia" w:ascii="Times New Roman" w:hAnsi="Times New Roman" w:eastAsia="黑体" w:cs="Times New Roman"/>
          <w:color w:val="333333"/>
          <w:kern w:val="0"/>
          <w:sz w:val="32"/>
          <w:szCs w:val="32"/>
          <w:lang w:val="en-US" w:eastAsia="zh-CN"/>
        </w:rPr>
        <w:t>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7"/>
        <w:tblW w:w="8603" w:type="dxa"/>
        <w:tblInd w:w="-81" w:type="dxa"/>
        <w:shd w:val="clear" w:color="auto" w:fill="FFFFFF"/>
        <w:tblLayout w:type="fixed"/>
        <w:tblCellMar>
          <w:top w:w="0" w:type="dxa"/>
          <w:left w:w="0" w:type="dxa"/>
          <w:bottom w:w="0" w:type="dxa"/>
          <w:right w:w="0" w:type="dxa"/>
        </w:tblCellMar>
      </w:tblPr>
      <w:tblGrid>
        <w:gridCol w:w="756"/>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75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75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3"/>
        <w:rPr>
          <w:rFonts w:hint="default" w:ascii="Times New Roman" w:hAnsi="Times New Roman" w:eastAsia="宋体" w:cs="Times New Roman"/>
          <w:color w:val="333333"/>
          <w:kern w:val="0"/>
          <w:sz w:val="18"/>
          <w:szCs w:val="18"/>
        </w:rPr>
      </w:pPr>
    </w:p>
    <w:p>
      <w:pPr>
        <w:pStyle w:val="3"/>
        <w:rPr>
          <w:rFonts w:hint="default" w:ascii="Times New Roman" w:hAnsi="Times New Roman" w:eastAsia="宋体" w:cs="Times New Roman"/>
          <w:color w:val="333333"/>
          <w:kern w:val="0"/>
          <w:sz w:val="18"/>
          <w:szCs w:val="18"/>
        </w:rPr>
      </w:pPr>
    </w:p>
    <w:p>
      <w:pPr>
        <w:pStyle w:val="3"/>
        <w:rPr>
          <w:rFonts w:hint="default" w:ascii="Times New Roman" w:hAnsi="Times New Roman" w:eastAsia="宋体" w:cs="Times New Roman"/>
          <w:color w:val="333333"/>
          <w:kern w:val="0"/>
          <w:sz w:val="18"/>
          <w:szCs w:val="18"/>
        </w:rPr>
      </w:pPr>
    </w:p>
    <w:p>
      <w:pPr>
        <w:pStyle w:val="3"/>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color w:val="333333"/>
          <w:kern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80C1A"/>
    <w:multiLevelType w:val="singleLevel"/>
    <w:tmpl w:val="36A80C1A"/>
    <w:lvl w:ilvl="0" w:tentative="0">
      <w:start w:val="1"/>
      <w:numFmt w:val="decimal"/>
      <w:lvlText w:val="%1."/>
      <w:lvlJc w:val="left"/>
      <w:pPr>
        <w:tabs>
          <w:tab w:val="left" w:pos="312"/>
        </w:tabs>
      </w:pPr>
    </w:lvl>
  </w:abstractNum>
  <w:abstractNum w:abstractNumId="1">
    <w:nsid w:val="5036A723"/>
    <w:multiLevelType w:val="singleLevel"/>
    <w:tmpl w:val="5036A723"/>
    <w:lvl w:ilvl="0" w:tentative="0">
      <w:start w:val="1"/>
      <w:numFmt w:val="decimal"/>
      <w:lvlText w:val="%1."/>
      <w:lvlJc w:val="left"/>
      <w:pPr>
        <w:ind w:left="425" w:hanging="425"/>
      </w:pPr>
      <w:rPr>
        <w:rFonts w:hint="default"/>
      </w:rPr>
    </w:lvl>
  </w:abstractNum>
  <w:abstractNum w:abstractNumId="2">
    <w:nsid w:val="5DF70B72"/>
    <w:multiLevelType w:val="singleLevel"/>
    <w:tmpl w:val="5DF70B72"/>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B43791"/>
    <w:rsid w:val="02480F82"/>
    <w:rsid w:val="04142533"/>
    <w:rsid w:val="06434805"/>
    <w:rsid w:val="08AA1813"/>
    <w:rsid w:val="0C9055B6"/>
    <w:rsid w:val="0CEE6A14"/>
    <w:rsid w:val="0D7279C1"/>
    <w:rsid w:val="0D76536B"/>
    <w:rsid w:val="0FE413DC"/>
    <w:rsid w:val="1162444E"/>
    <w:rsid w:val="11A12800"/>
    <w:rsid w:val="11B56CE7"/>
    <w:rsid w:val="141D1933"/>
    <w:rsid w:val="17D441AF"/>
    <w:rsid w:val="17E76B28"/>
    <w:rsid w:val="1CD0404A"/>
    <w:rsid w:val="20567118"/>
    <w:rsid w:val="22587C1D"/>
    <w:rsid w:val="23A14FE7"/>
    <w:rsid w:val="24E574D0"/>
    <w:rsid w:val="26556455"/>
    <w:rsid w:val="26E71450"/>
    <w:rsid w:val="281F755F"/>
    <w:rsid w:val="2E5E45BC"/>
    <w:rsid w:val="31596968"/>
    <w:rsid w:val="343762A2"/>
    <w:rsid w:val="34540B85"/>
    <w:rsid w:val="36CF50B7"/>
    <w:rsid w:val="39A83D55"/>
    <w:rsid w:val="39DE699F"/>
    <w:rsid w:val="3C4E276F"/>
    <w:rsid w:val="3CB56187"/>
    <w:rsid w:val="3DAE77A5"/>
    <w:rsid w:val="42D97F66"/>
    <w:rsid w:val="439747DB"/>
    <w:rsid w:val="453009CA"/>
    <w:rsid w:val="45CE55D0"/>
    <w:rsid w:val="463B24C2"/>
    <w:rsid w:val="47B34975"/>
    <w:rsid w:val="4AC43BB5"/>
    <w:rsid w:val="4D796E19"/>
    <w:rsid w:val="4F4B389A"/>
    <w:rsid w:val="51A23C60"/>
    <w:rsid w:val="52527665"/>
    <w:rsid w:val="54A83452"/>
    <w:rsid w:val="552E4660"/>
    <w:rsid w:val="55F140D3"/>
    <w:rsid w:val="57AF75B9"/>
    <w:rsid w:val="5D9A4294"/>
    <w:rsid w:val="5E73272A"/>
    <w:rsid w:val="5EC95809"/>
    <w:rsid w:val="611D0AAE"/>
    <w:rsid w:val="621F4120"/>
    <w:rsid w:val="63002E91"/>
    <w:rsid w:val="649E29D3"/>
    <w:rsid w:val="687B5878"/>
    <w:rsid w:val="6ADD2C72"/>
    <w:rsid w:val="6B803D0B"/>
    <w:rsid w:val="6BDF1281"/>
    <w:rsid w:val="709E1E32"/>
    <w:rsid w:val="747A3206"/>
    <w:rsid w:val="748848EE"/>
    <w:rsid w:val="75746E21"/>
    <w:rsid w:val="7741032D"/>
    <w:rsid w:val="79123157"/>
    <w:rsid w:val="7A35588F"/>
    <w:rsid w:val="7C82246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 w:type="paragraph" w:customStyle="1" w:styleId="12">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 w:type="paragraph" w:customStyle="1" w:styleId="13">
    <w:name w:val="二级条标题"/>
    <w:basedOn w:val="14"/>
    <w:next w:val="15"/>
    <w:qFormat/>
    <w:uiPriority w:val="0"/>
    <w:pPr>
      <w:outlineLvl w:val="3"/>
    </w:pPr>
  </w:style>
  <w:style w:type="paragraph" w:customStyle="1" w:styleId="14">
    <w:name w:val="一级条标题"/>
    <w:next w:val="15"/>
    <w:qFormat/>
    <w:uiPriority w:val="0"/>
    <w:pPr>
      <w:outlineLvl w:val="2"/>
    </w:pPr>
    <w:rPr>
      <w:rFonts w:ascii="Times New Roman" w:hAnsi="Times New Roman" w:eastAsia="黑体" w:cs="Times New Roman"/>
      <w:sz w:val="21"/>
      <w:lang w:val="en-US" w:eastAsia="zh-CN" w:bidi="ar-SA"/>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2022-02-18T04:15:03Z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