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560"/>
        <w:jc w:val="center"/>
        <w:textAlignment w:val="auto"/>
        <w:rPr>
          <w:rFonts w:hint="eastAsia" w:asciiTheme="minorEastAsia" w:hAnsiTheme="minorEastAsia" w:eastAsiaTheme="minorEastAsia" w:cstheme="minorEastAsia"/>
          <w:i w:val="0"/>
          <w:caps w:val="0"/>
          <w:color w:val="auto"/>
          <w:spacing w:val="0"/>
          <w:sz w:val="28"/>
          <w:szCs w:val="28"/>
          <w:shd w:val="clear" w:fill="FFFFFF"/>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拟采购全骨盆臀腹康养仪，</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5</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21</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五</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5</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21</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投标文件材料进行资格前审。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5</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21</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设备名称：</w:t>
      </w:r>
      <w:r>
        <w:rPr>
          <w:rFonts w:hint="default" w:ascii="Times New Roman" w:hAnsi="Times New Roman" w:eastAsia="宋体" w:cs="Times New Roman"/>
          <w:sz w:val="24"/>
          <w:szCs w:val="24"/>
          <w:rtl w:val="0"/>
        </w:rPr>
        <w:t>骨盆臀腹康养仪</w:t>
      </w:r>
      <w:r>
        <w:rPr>
          <w:rFonts w:hint="eastAsia" w:ascii="Times New Roman" w:hAnsi="Times New Roman" w:eastAsia="宋体" w:cs="Times New Roman"/>
          <w:sz w:val="24"/>
          <w:szCs w:val="24"/>
          <w:rtl w:val="0"/>
          <w:lang w:val="en-US" w:eastAsia="zh-CN"/>
        </w:rPr>
        <w:t xml:space="preserve">                            数量：1套</w:t>
      </w:r>
    </w:p>
    <w:p>
      <w:pPr>
        <w:keepNext w:val="0"/>
        <w:keepLines w:val="0"/>
        <w:widowControl w:val="0"/>
        <w:suppressLineNumbers w:val="0"/>
        <w:spacing w:before="0" w:beforeAutospacing="0" w:after="0" w:afterAutospacing="0"/>
        <w:ind w:left="0" w:right="0"/>
        <w:jc w:val="both"/>
        <w:rPr>
          <w:rFonts w:hint="eastAsia"/>
          <w:b/>
          <w:bCs/>
          <w:lang w:val="en-US" w:eastAsia="zh-CN"/>
        </w:rPr>
      </w:pPr>
    </w:p>
    <w:p>
      <w:pPr>
        <w:keepNext w:val="0"/>
        <w:keepLines w:val="0"/>
        <w:widowControl w:val="0"/>
        <w:suppressLineNumbers w:val="0"/>
        <w:spacing w:before="0" w:beforeAutospacing="0" w:after="0" w:afterAutospacing="0"/>
        <w:ind w:left="0" w:right="0"/>
        <w:jc w:val="both"/>
        <w:rPr>
          <w:rFonts w:hint="default"/>
          <w:b/>
          <w:bCs/>
          <w:lang w:val="en-US" w:eastAsia="zh-CN"/>
        </w:rPr>
      </w:pPr>
      <w:r>
        <w:rPr>
          <w:rFonts w:hint="eastAsia"/>
          <w:b/>
          <w:bCs/>
          <w:lang w:val="en-US" w:eastAsia="zh-CN"/>
        </w:rPr>
        <w:t>技术参数</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宋体" w:hAnsi="宋体" w:eastAsia="宋体" w:cs="宋体"/>
          <w:color w:val="auto"/>
          <w:kern w:val="2"/>
          <w:sz w:val="21"/>
          <w:szCs w:val="22"/>
          <w:lang w:val="en-US" w:eastAsia="zh-CN" w:bidi="ar"/>
        </w:rPr>
        <w:t>※</w:t>
      </w:r>
      <w:r>
        <w:rPr>
          <w:rFonts w:hint="eastAsia" w:cs="宋体"/>
          <w:color w:val="auto"/>
          <w:kern w:val="2"/>
          <w:sz w:val="21"/>
          <w:szCs w:val="22"/>
          <w:lang w:val="en-US" w:eastAsia="zh-CN" w:bidi="ar"/>
        </w:rPr>
        <w:t>套筒类型</w:t>
      </w:r>
      <w:r>
        <w:rPr>
          <w:rFonts w:hint="eastAsia" w:ascii="Calibri" w:hAnsi="Calibri" w:eastAsia="宋体" w:cs="宋体"/>
          <w:color w:val="auto"/>
          <w:kern w:val="2"/>
          <w:sz w:val="21"/>
          <w:szCs w:val="22"/>
          <w:lang w:val="en-US" w:eastAsia="zh-CN" w:bidi="ar"/>
        </w:rPr>
        <w:t>：</w:t>
      </w:r>
      <w:r>
        <w:rPr>
          <w:rFonts w:hint="default" w:ascii="Calibri" w:hAnsi="Calibri" w:eastAsia="宋体" w:cs="Arial"/>
          <w:color w:val="auto"/>
          <w:kern w:val="2"/>
          <w:sz w:val="21"/>
          <w:szCs w:val="22"/>
          <w:lang w:val="en-US" w:eastAsia="zh-CN" w:bidi="ar"/>
        </w:rPr>
        <w:t>3D</w:t>
      </w:r>
      <w:r>
        <w:rPr>
          <w:rFonts w:hint="eastAsia" w:ascii="Calibri" w:hAnsi="Calibri" w:eastAsia="宋体" w:cs="宋体"/>
          <w:color w:val="auto"/>
          <w:kern w:val="2"/>
          <w:sz w:val="21"/>
          <w:szCs w:val="22"/>
          <w:lang w:val="en-US" w:eastAsia="zh-CN" w:bidi="ar"/>
        </w:rPr>
        <w:t>立体设计臀腹套筒</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宋体" w:hAnsi="宋体" w:eastAsia="宋体" w:cs="宋体"/>
          <w:color w:val="auto"/>
          <w:kern w:val="2"/>
          <w:sz w:val="21"/>
          <w:szCs w:val="22"/>
          <w:lang w:val="en-US" w:eastAsia="zh-CN" w:bidi="ar"/>
        </w:rPr>
        <w:t>※</w:t>
      </w:r>
      <w:r>
        <w:rPr>
          <w:rFonts w:hint="eastAsia" w:cs="宋体"/>
          <w:color w:val="auto"/>
          <w:kern w:val="2"/>
          <w:sz w:val="21"/>
          <w:szCs w:val="22"/>
          <w:lang w:val="en-US" w:eastAsia="zh-CN" w:bidi="ar"/>
        </w:rPr>
        <w:t>套筒腔数</w:t>
      </w:r>
      <w:r>
        <w:rPr>
          <w:rFonts w:hint="eastAsia" w:ascii="Calibri" w:hAnsi="Calibri" w:eastAsia="宋体" w:cs="宋体"/>
          <w:color w:val="auto"/>
          <w:kern w:val="2"/>
          <w:sz w:val="21"/>
          <w:szCs w:val="22"/>
          <w:lang w:val="en-US" w:eastAsia="zh-CN" w:bidi="ar"/>
        </w:rPr>
        <w:t>：</w:t>
      </w:r>
      <w:r>
        <w:rPr>
          <w:rFonts w:hint="eastAsia" w:cs="宋体"/>
          <w:color w:val="auto"/>
          <w:kern w:val="2"/>
          <w:sz w:val="21"/>
          <w:szCs w:val="22"/>
          <w:lang w:val="en-US" w:eastAsia="zh-CN" w:bidi="ar"/>
        </w:rPr>
        <w:t>≥</w:t>
      </w:r>
      <w:r>
        <w:rPr>
          <w:rFonts w:hint="eastAsia" w:cs="Arial"/>
          <w:color w:val="auto"/>
          <w:kern w:val="2"/>
          <w:sz w:val="21"/>
          <w:szCs w:val="22"/>
          <w:lang w:val="en-US" w:eastAsia="zh-CN" w:bidi="ar"/>
        </w:rPr>
        <w:t>12</w:t>
      </w:r>
      <w:r>
        <w:rPr>
          <w:rFonts w:hint="eastAsia" w:ascii="Calibri" w:hAnsi="Calibri" w:eastAsia="宋体" w:cs="宋体"/>
          <w:color w:val="auto"/>
          <w:kern w:val="2"/>
          <w:sz w:val="21"/>
          <w:szCs w:val="22"/>
          <w:lang w:val="en-US" w:eastAsia="zh-CN" w:bidi="ar"/>
        </w:rPr>
        <w:t>腔</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宋体" w:hAnsi="宋体" w:eastAsia="宋体" w:cs="宋体"/>
          <w:color w:val="auto"/>
          <w:kern w:val="2"/>
          <w:sz w:val="21"/>
          <w:szCs w:val="22"/>
          <w:lang w:val="en-US" w:eastAsia="zh-CN" w:bidi="ar"/>
        </w:rPr>
        <w:t>※</w:t>
      </w:r>
      <w:r>
        <w:rPr>
          <w:rFonts w:hint="eastAsia"/>
          <w:color w:val="auto"/>
          <w:lang w:val="en-US" w:eastAsia="zh-CN"/>
        </w:rPr>
        <w:t>作用部位：≥12部位</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Calibri" w:hAnsi="Calibri" w:eastAsia="宋体" w:cs="宋体"/>
          <w:color w:val="auto"/>
          <w:kern w:val="2"/>
          <w:sz w:val="21"/>
          <w:szCs w:val="22"/>
          <w:lang w:val="en-US" w:eastAsia="zh-CN" w:bidi="ar"/>
        </w:rPr>
        <w:t>压力范围：</w:t>
      </w:r>
      <w:r>
        <w:rPr>
          <w:rFonts w:hint="default" w:ascii="Calibri" w:hAnsi="Calibri" w:eastAsia="宋体" w:cs="Arial"/>
          <w:color w:val="auto"/>
          <w:kern w:val="2"/>
          <w:sz w:val="21"/>
          <w:szCs w:val="22"/>
          <w:lang w:val="en-US" w:eastAsia="zh-CN" w:bidi="ar"/>
        </w:rPr>
        <w:t>30</w:t>
      </w:r>
      <w:r>
        <w:rPr>
          <w:rFonts w:hint="eastAsia" w:ascii="Calibri" w:hAnsi="Calibri" w:eastAsia="宋体" w:cs="宋体"/>
          <w:color w:val="auto"/>
          <w:kern w:val="2"/>
          <w:sz w:val="21"/>
          <w:szCs w:val="22"/>
          <w:lang w:val="en-US" w:eastAsia="zh-CN" w:bidi="ar"/>
        </w:rPr>
        <w:t>～</w:t>
      </w:r>
      <w:r>
        <w:rPr>
          <w:rFonts w:hint="default" w:ascii="Calibri" w:hAnsi="Calibri" w:eastAsia="宋体" w:cs="Arial"/>
          <w:color w:val="auto"/>
          <w:kern w:val="2"/>
          <w:sz w:val="21"/>
          <w:szCs w:val="22"/>
          <w:lang w:val="en-US" w:eastAsia="zh-CN" w:bidi="ar"/>
        </w:rPr>
        <w:t>180mmHg</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Calibri" w:hAnsi="Calibri" w:eastAsia="宋体" w:cs="宋体"/>
          <w:color w:val="auto"/>
          <w:kern w:val="2"/>
          <w:sz w:val="21"/>
          <w:szCs w:val="22"/>
          <w:lang w:val="en-US" w:eastAsia="zh-CN" w:bidi="ar"/>
        </w:rPr>
        <w:t>工作时间：设置范围为</w:t>
      </w:r>
      <w:r>
        <w:rPr>
          <w:rFonts w:hint="default" w:ascii="Calibri" w:hAnsi="Calibri" w:eastAsia="宋体" w:cs="Arial"/>
          <w:color w:val="auto"/>
          <w:kern w:val="2"/>
          <w:sz w:val="21"/>
          <w:szCs w:val="22"/>
          <w:lang w:val="en-US" w:eastAsia="zh-CN" w:bidi="ar"/>
        </w:rPr>
        <w:t>1</w:t>
      </w:r>
      <w:r>
        <w:rPr>
          <w:rFonts w:hint="eastAsia" w:ascii="Calibri" w:hAnsi="Calibri" w:eastAsia="宋体" w:cs="宋体"/>
          <w:color w:val="auto"/>
          <w:kern w:val="2"/>
          <w:sz w:val="21"/>
          <w:szCs w:val="22"/>
          <w:lang w:val="en-US" w:eastAsia="zh-CN" w:bidi="ar"/>
        </w:rPr>
        <w:t>～</w:t>
      </w:r>
      <w:r>
        <w:rPr>
          <w:rFonts w:hint="default" w:ascii="Calibri" w:hAnsi="Calibri" w:eastAsia="宋体" w:cs="Arial"/>
          <w:color w:val="auto"/>
          <w:kern w:val="2"/>
          <w:sz w:val="21"/>
          <w:szCs w:val="22"/>
          <w:lang w:val="en-US" w:eastAsia="zh-CN" w:bidi="ar"/>
        </w:rPr>
        <w:t>99</w:t>
      </w:r>
      <w:r>
        <w:rPr>
          <w:rFonts w:hint="eastAsia" w:ascii="Calibri" w:hAnsi="Calibri" w:eastAsia="宋体" w:cs="宋体"/>
          <w:color w:val="auto"/>
          <w:kern w:val="2"/>
          <w:sz w:val="21"/>
          <w:szCs w:val="22"/>
          <w:lang w:val="en-US" w:eastAsia="zh-CN" w:bidi="ar"/>
        </w:rPr>
        <w:t>分钟</w:t>
      </w:r>
      <w:r>
        <w:rPr>
          <w:rFonts w:hint="default" w:ascii="Calibri" w:hAnsi="Calibri" w:eastAsia="宋体" w:cs="Arial"/>
          <w:color w:val="auto"/>
          <w:kern w:val="2"/>
          <w:sz w:val="21"/>
          <w:szCs w:val="22"/>
          <w:lang w:val="en-US" w:eastAsia="zh-CN" w:bidi="ar"/>
        </w:rPr>
        <w:t>/</w:t>
      </w:r>
      <w:r>
        <w:rPr>
          <w:rFonts w:hint="eastAsia" w:ascii="Calibri" w:hAnsi="Calibri" w:eastAsia="宋体" w:cs="宋体"/>
          <w:color w:val="auto"/>
          <w:kern w:val="2"/>
          <w:sz w:val="21"/>
          <w:szCs w:val="22"/>
          <w:lang w:val="en-US" w:eastAsia="zh-CN" w:bidi="ar"/>
        </w:rPr>
        <w:t>连续运行</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Calibri" w:hAnsi="Calibri" w:eastAsia="宋体" w:cs="宋体"/>
          <w:color w:val="auto"/>
          <w:kern w:val="2"/>
          <w:sz w:val="21"/>
          <w:szCs w:val="22"/>
          <w:lang w:val="en-US" w:eastAsia="zh-CN" w:bidi="ar"/>
        </w:rPr>
        <w:t>保持时间：调节范围为：</w:t>
      </w:r>
      <w:r>
        <w:rPr>
          <w:rFonts w:hint="default" w:ascii="Calibri" w:hAnsi="Calibri" w:eastAsia="宋体" w:cs="Arial"/>
          <w:color w:val="auto"/>
          <w:kern w:val="2"/>
          <w:sz w:val="21"/>
          <w:szCs w:val="22"/>
          <w:lang w:val="en-US" w:eastAsia="zh-CN" w:bidi="ar"/>
        </w:rPr>
        <w:t>0</w:t>
      </w:r>
      <w:r>
        <w:rPr>
          <w:rFonts w:hint="eastAsia" w:ascii="Calibri" w:hAnsi="Calibri" w:eastAsia="宋体" w:cs="宋体"/>
          <w:color w:val="auto"/>
          <w:kern w:val="2"/>
          <w:sz w:val="21"/>
          <w:szCs w:val="22"/>
          <w:lang w:val="en-US" w:eastAsia="zh-CN" w:bidi="ar"/>
        </w:rPr>
        <w:t>～</w:t>
      </w:r>
      <w:r>
        <w:rPr>
          <w:rFonts w:hint="default" w:ascii="Calibri" w:hAnsi="Calibri" w:eastAsia="宋体" w:cs="Arial"/>
          <w:color w:val="auto"/>
          <w:kern w:val="2"/>
          <w:sz w:val="21"/>
          <w:szCs w:val="22"/>
          <w:lang w:val="en-US" w:eastAsia="zh-CN" w:bidi="ar"/>
        </w:rPr>
        <w:t>12</w:t>
      </w:r>
      <w:r>
        <w:rPr>
          <w:rFonts w:hint="eastAsia" w:ascii="Calibri" w:hAnsi="Calibri" w:eastAsia="宋体" w:cs="宋体"/>
          <w:color w:val="auto"/>
          <w:kern w:val="2"/>
          <w:sz w:val="21"/>
          <w:szCs w:val="22"/>
          <w:lang w:val="en-US" w:eastAsia="zh-CN" w:bidi="ar"/>
        </w:rPr>
        <w:t>秒。</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Calibri" w:hAnsi="Calibri" w:eastAsia="宋体" w:cs="宋体"/>
          <w:color w:val="auto"/>
          <w:kern w:val="2"/>
          <w:sz w:val="21"/>
          <w:szCs w:val="22"/>
          <w:lang w:val="en-US" w:eastAsia="zh-CN" w:bidi="ar"/>
        </w:rPr>
        <w:t>间歇时间：调节范围：</w:t>
      </w:r>
      <w:r>
        <w:rPr>
          <w:rFonts w:hint="default" w:ascii="Calibri" w:hAnsi="Calibri" w:eastAsia="宋体" w:cs="Arial"/>
          <w:color w:val="auto"/>
          <w:kern w:val="2"/>
          <w:sz w:val="21"/>
          <w:szCs w:val="22"/>
          <w:lang w:val="en-US" w:eastAsia="zh-CN" w:bidi="ar"/>
        </w:rPr>
        <w:t>0</w:t>
      </w:r>
      <w:r>
        <w:rPr>
          <w:rFonts w:hint="eastAsia" w:ascii="Calibri" w:hAnsi="Calibri" w:eastAsia="宋体" w:cs="宋体"/>
          <w:color w:val="auto"/>
          <w:kern w:val="2"/>
          <w:sz w:val="21"/>
          <w:szCs w:val="22"/>
          <w:lang w:val="en-US" w:eastAsia="zh-CN" w:bidi="ar"/>
        </w:rPr>
        <w:t>～</w:t>
      </w:r>
      <w:r>
        <w:rPr>
          <w:rFonts w:hint="default" w:ascii="Calibri" w:hAnsi="Calibri" w:eastAsia="宋体" w:cs="Arial"/>
          <w:color w:val="auto"/>
          <w:kern w:val="2"/>
          <w:sz w:val="21"/>
          <w:szCs w:val="22"/>
          <w:lang w:val="en-US" w:eastAsia="zh-CN" w:bidi="ar"/>
        </w:rPr>
        <w:t>90</w:t>
      </w:r>
      <w:r>
        <w:rPr>
          <w:rFonts w:hint="eastAsia" w:ascii="Calibri" w:hAnsi="Calibri" w:eastAsia="宋体" w:cs="宋体"/>
          <w:color w:val="auto"/>
          <w:kern w:val="2"/>
          <w:sz w:val="21"/>
          <w:szCs w:val="22"/>
          <w:lang w:val="en-US" w:eastAsia="zh-CN" w:bidi="ar"/>
        </w:rPr>
        <w:t>秒</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rFonts w:hint="default" w:ascii="Calibri" w:hAnsi="Calibri" w:eastAsia="宋体" w:cs="宋体"/>
          <w:color w:val="auto"/>
          <w:kern w:val="2"/>
          <w:sz w:val="21"/>
          <w:szCs w:val="22"/>
          <w:lang w:val="en-US" w:eastAsia="zh-CN" w:bidi="ar"/>
        </w:rPr>
      </w:pPr>
      <w:r>
        <w:rPr>
          <w:rFonts w:hint="eastAsia" w:cs="宋体"/>
          <w:color w:val="auto"/>
          <w:kern w:val="2"/>
          <w:sz w:val="21"/>
          <w:szCs w:val="22"/>
          <w:lang w:val="en-US" w:eastAsia="zh-CN" w:bidi="ar"/>
        </w:rPr>
        <w:t>运行状态噪音：工作时噪音不超过45dB</w:t>
      </w:r>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rFonts w:hint="default" w:ascii="Calibri" w:hAnsi="Calibri" w:eastAsia="宋体" w:cs="宋体"/>
          <w:color w:val="auto"/>
          <w:kern w:val="2"/>
          <w:sz w:val="21"/>
          <w:szCs w:val="22"/>
          <w:lang w:val="en-US" w:eastAsia="zh-CN" w:bidi="ar"/>
        </w:rPr>
      </w:pPr>
      <w:r>
        <w:rPr>
          <w:rFonts w:hint="eastAsia" w:cs="宋体"/>
          <w:color w:val="auto"/>
          <w:kern w:val="2"/>
          <w:sz w:val="21"/>
          <w:szCs w:val="22"/>
          <w:lang w:val="en-US" w:eastAsia="zh-CN" w:bidi="ar"/>
        </w:rPr>
        <w:t>压力调节：同步调节/单腔调节</w:t>
      </w:r>
      <w:bookmarkStart w:id="1" w:name="_GoBack"/>
      <w:bookmarkEnd w:id="1"/>
    </w:p>
    <w:p>
      <w:pPr>
        <w:keepNext w:val="0"/>
        <w:keepLines w:val="0"/>
        <w:widowControl w:val="0"/>
        <w:numPr>
          <w:ilvl w:val="0"/>
          <w:numId w:val="1"/>
        </w:numPr>
        <w:suppressLineNumbers w:val="0"/>
        <w:spacing w:before="0" w:beforeAutospacing="0" w:after="0" w:afterAutospacing="0" w:line="360" w:lineRule="auto"/>
        <w:ind w:left="425" w:leftChars="0" w:right="0" w:hanging="425" w:firstLineChars="0"/>
        <w:jc w:val="both"/>
        <w:rPr>
          <w:rFonts w:hint="default" w:ascii="Calibri" w:hAnsi="Calibri" w:eastAsia="宋体" w:cs="宋体"/>
          <w:color w:val="auto"/>
          <w:kern w:val="2"/>
          <w:sz w:val="21"/>
          <w:szCs w:val="22"/>
          <w:lang w:val="en-US" w:eastAsia="zh-CN" w:bidi="ar"/>
        </w:rPr>
      </w:pPr>
      <w:r>
        <w:rPr>
          <w:rFonts w:hint="eastAsia" w:cs="宋体"/>
          <w:color w:val="auto"/>
          <w:kern w:val="2"/>
          <w:sz w:val="21"/>
          <w:szCs w:val="22"/>
          <w:lang w:val="en-US" w:eastAsia="zh-CN" w:bidi="ar"/>
        </w:rPr>
        <w:t>操作方法：触屏操作</w:t>
      </w: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suppressLineNumbers w:val="0"/>
        <w:spacing w:before="0" w:beforeAutospacing="0" w:after="0" w:afterAutospacing="0"/>
        <w:ind w:left="0" w:right="0"/>
        <w:jc w:val="both"/>
        <w:rPr>
          <w:b/>
          <w:bCs/>
          <w:color w:val="auto"/>
          <w:lang w:val="en-US"/>
        </w:rPr>
      </w:pPr>
      <w:r>
        <w:rPr>
          <w:rFonts w:hint="eastAsia" w:ascii="Calibri" w:hAnsi="Calibri" w:eastAsia="宋体" w:cs="宋体"/>
          <w:b/>
          <w:bCs/>
          <w:color w:val="auto"/>
          <w:kern w:val="2"/>
          <w:sz w:val="21"/>
          <w:szCs w:val="22"/>
          <w:lang w:val="en-US" w:eastAsia="zh-CN" w:bidi="ar"/>
        </w:rPr>
        <w:t>功能参数</w:t>
      </w:r>
    </w:p>
    <w:p>
      <w:pPr>
        <w:keepNext w:val="0"/>
        <w:keepLines w:val="0"/>
        <w:widowControl w:val="0"/>
        <w:suppressLineNumbers w:val="0"/>
        <w:spacing w:before="0" w:beforeAutospacing="0" w:after="0" w:afterAutospacing="0"/>
        <w:ind w:left="0" w:right="0"/>
        <w:jc w:val="both"/>
        <w:rPr>
          <w:color w:val="auto"/>
          <w:lang w:val="en-US"/>
        </w:rPr>
      </w:pP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color w:val="auto"/>
          <w:lang w:val="en-US"/>
        </w:rPr>
      </w:pPr>
      <w:r>
        <w:rPr>
          <w:rFonts w:hint="eastAsia" w:ascii="宋体" w:hAnsi="宋体" w:eastAsia="宋体" w:cs="宋体"/>
          <w:color w:val="auto"/>
          <w:kern w:val="2"/>
          <w:sz w:val="21"/>
          <w:szCs w:val="22"/>
          <w:lang w:val="en-US" w:eastAsia="zh-CN" w:bidi="ar"/>
        </w:rPr>
        <w:t>※</w:t>
      </w:r>
      <w:r>
        <w:rPr>
          <w:rFonts w:hint="eastAsia" w:ascii="Calibri" w:hAnsi="Calibri" w:eastAsia="宋体" w:cs="宋体"/>
          <w:color w:val="auto"/>
          <w:kern w:val="2"/>
          <w:sz w:val="21"/>
          <w:szCs w:val="22"/>
          <w:lang w:val="en-US" w:eastAsia="zh-CN" w:bidi="ar"/>
        </w:rPr>
        <w:t>专利肢体套筒，采用</w:t>
      </w:r>
      <w:r>
        <w:rPr>
          <w:rFonts w:hint="default" w:ascii="Calibri" w:hAnsi="Calibri" w:eastAsia="宋体" w:cs="Arial"/>
          <w:color w:val="auto"/>
          <w:kern w:val="2"/>
          <w:sz w:val="21"/>
          <w:szCs w:val="22"/>
          <w:lang w:val="en-US" w:eastAsia="zh-CN" w:bidi="ar"/>
        </w:rPr>
        <w:t>3D</w:t>
      </w:r>
      <w:r>
        <w:rPr>
          <w:rFonts w:hint="eastAsia" w:ascii="Calibri" w:hAnsi="Calibri" w:eastAsia="宋体" w:cs="宋体"/>
          <w:color w:val="auto"/>
          <w:kern w:val="2"/>
          <w:sz w:val="21"/>
          <w:szCs w:val="22"/>
          <w:lang w:val="en-US" w:eastAsia="zh-CN" w:bidi="ar"/>
        </w:rPr>
        <w:t>立体设计循环压力分别作用于大腿、盆底肌、臀、腹等部位，促进淋巴液和静脉血液回流</w:t>
      </w: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rFonts w:hint="eastAsia" w:ascii="Calibri" w:hAnsi="Calibri" w:eastAsia="宋体" w:cs="宋体"/>
          <w:color w:val="auto"/>
          <w:kern w:val="2"/>
          <w:sz w:val="21"/>
          <w:szCs w:val="22"/>
          <w:lang w:val="en-US" w:eastAsia="zh-CN" w:bidi="ar"/>
        </w:rPr>
      </w:pPr>
      <w:r>
        <w:rPr>
          <w:rFonts w:hint="eastAsia" w:ascii="宋体" w:hAnsi="宋体" w:eastAsia="宋体" w:cs="宋体"/>
          <w:color w:val="auto"/>
          <w:kern w:val="2"/>
          <w:sz w:val="21"/>
          <w:szCs w:val="22"/>
          <w:lang w:val="en-US" w:eastAsia="zh-CN" w:bidi="ar"/>
        </w:rPr>
        <w:t>※</w:t>
      </w:r>
      <w:r>
        <w:rPr>
          <w:rFonts w:hint="eastAsia" w:ascii="Calibri" w:hAnsi="Calibri" w:eastAsia="宋体" w:cs="宋体"/>
          <w:color w:val="auto"/>
          <w:kern w:val="2"/>
          <w:sz w:val="21"/>
          <w:szCs w:val="22"/>
          <w:lang w:val="en-US" w:eastAsia="zh-CN" w:bidi="ar"/>
        </w:rPr>
        <w:t>压力范围即可同步调节，也可单腔调节</w:t>
      </w:r>
      <w:r>
        <w:rPr>
          <w:rFonts w:hint="eastAsia" w:cs="宋体"/>
          <w:color w:val="auto"/>
          <w:kern w:val="2"/>
          <w:sz w:val="21"/>
          <w:szCs w:val="22"/>
          <w:lang w:val="en-US" w:eastAsia="zh-CN" w:bidi="ar"/>
        </w:rPr>
        <w:t>，了避免剖腹产刀口疼痛部位</w:t>
      </w: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rFonts w:hint="default" w:cs="宋体"/>
          <w:color w:val="auto"/>
          <w:kern w:val="2"/>
          <w:sz w:val="21"/>
          <w:szCs w:val="22"/>
          <w:lang w:val="en-US" w:eastAsia="zh-CN" w:bidi="ar"/>
        </w:rPr>
      </w:pPr>
      <w:r>
        <w:rPr>
          <w:rFonts w:hint="eastAsia" w:cs="宋体"/>
          <w:color w:val="auto"/>
          <w:kern w:val="2"/>
          <w:sz w:val="21"/>
          <w:szCs w:val="22"/>
          <w:lang w:val="en-US" w:eastAsia="zh-CN" w:bidi="ar"/>
        </w:rPr>
        <w:t>作用部位独立调节，即可进行骨盆相关肌肉放松，也可辅助进行骨盆矫正修复。</w:t>
      </w: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rFonts w:hint="eastAsia" w:ascii="Calibri" w:hAnsi="Calibri" w:eastAsia="宋体" w:cs="宋体"/>
          <w:color w:val="auto"/>
          <w:kern w:val="2"/>
          <w:sz w:val="21"/>
          <w:szCs w:val="22"/>
          <w:lang w:val="en-US" w:eastAsia="zh-CN" w:bidi="ar"/>
        </w:rPr>
      </w:pPr>
      <w:r>
        <w:rPr>
          <w:rFonts w:hint="eastAsia" w:ascii="Calibri" w:hAnsi="Calibri" w:eastAsia="宋体" w:cs="宋体"/>
          <w:color w:val="auto"/>
          <w:kern w:val="2"/>
          <w:sz w:val="21"/>
          <w:szCs w:val="22"/>
          <w:lang w:val="en-US" w:eastAsia="zh-CN" w:bidi="ar"/>
        </w:rPr>
        <w:t>治疗方案自动保存，提高工作效率</w:t>
      </w: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rFonts w:hint="eastAsia" w:cs="宋体"/>
          <w:color w:val="auto"/>
          <w:kern w:val="2"/>
          <w:sz w:val="21"/>
          <w:szCs w:val="22"/>
          <w:lang w:val="en-US" w:eastAsia="zh-CN" w:bidi="ar"/>
        </w:rPr>
      </w:pPr>
      <w:r>
        <w:rPr>
          <w:rFonts w:hint="eastAsia" w:ascii="宋体" w:hAnsi="宋体" w:eastAsia="宋体" w:cs="宋体"/>
          <w:color w:val="auto"/>
          <w:kern w:val="2"/>
          <w:sz w:val="21"/>
          <w:szCs w:val="22"/>
          <w:lang w:val="en-US" w:eastAsia="zh-CN" w:bidi="ar"/>
        </w:rPr>
        <w:t>※</w:t>
      </w:r>
      <w:r>
        <w:rPr>
          <w:rFonts w:hint="eastAsia" w:cs="宋体"/>
          <w:color w:val="auto"/>
          <w:kern w:val="2"/>
          <w:sz w:val="21"/>
          <w:szCs w:val="22"/>
          <w:lang w:val="en-US" w:eastAsia="zh-CN" w:bidi="ar"/>
        </w:rPr>
        <w:t>骶尾部充气，</w:t>
      </w:r>
      <w:r>
        <w:rPr>
          <w:rFonts w:hint="eastAsia" w:ascii="Calibri" w:hAnsi="Calibri" w:eastAsia="宋体" w:cs="宋体"/>
          <w:color w:val="auto"/>
          <w:kern w:val="2"/>
          <w:sz w:val="21"/>
          <w:szCs w:val="22"/>
          <w:lang w:val="en-US" w:eastAsia="zh-CN" w:bidi="ar"/>
        </w:rPr>
        <w:t>提升臀部</w:t>
      </w:r>
      <w:r>
        <w:rPr>
          <w:rFonts w:hint="eastAsia" w:cs="宋体"/>
          <w:color w:val="auto"/>
          <w:kern w:val="2"/>
          <w:sz w:val="21"/>
          <w:szCs w:val="22"/>
          <w:lang w:val="en-US" w:eastAsia="zh-CN" w:bidi="ar"/>
        </w:rPr>
        <w:t>，纠正臀下垂</w:t>
      </w: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rFonts w:hint="eastAsia" w:ascii="Calibri" w:hAnsi="Calibri" w:eastAsia="宋体" w:cs="宋体"/>
          <w:color w:val="auto"/>
          <w:kern w:val="2"/>
          <w:sz w:val="21"/>
          <w:szCs w:val="22"/>
          <w:lang w:val="en-US" w:eastAsia="zh-CN" w:bidi="ar"/>
        </w:rPr>
      </w:pPr>
      <w:r>
        <w:rPr>
          <w:rFonts w:hint="eastAsia" w:cs="宋体"/>
          <w:color w:val="auto"/>
          <w:kern w:val="2"/>
          <w:sz w:val="21"/>
          <w:szCs w:val="22"/>
          <w:lang w:val="en-US" w:eastAsia="zh-CN" w:bidi="ar"/>
        </w:rPr>
        <w:t>配合手法纠正骨盆错位倾斜，起到骨盆固定作用</w:t>
      </w: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rFonts w:hint="eastAsia" w:ascii="Calibri" w:hAnsi="Calibri" w:eastAsia="宋体" w:cs="宋体"/>
          <w:color w:val="auto"/>
          <w:kern w:val="2"/>
          <w:sz w:val="21"/>
          <w:szCs w:val="22"/>
          <w:lang w:val="en-US" w:eastAsia="zh-CN" w:bidi="ar"/>
        </w:rPr>
      </w:pPr>
      <w:r>
        <w:rPr>
          <w:rFonts w:hint="eastAsia" w:cs="宋体"/>
          <w:color w:val="auto"/>
          <w:kern w:val="2"/>
          <w:sz w:val="21"/>
          <w:szCs w:val="22"/>
          <w:lang w:val="en-US" w:eastAsia="zh-CN" w:bidi="ar"/>
        </w:rPr>
        <w:t>套筒可作用于腰腹部位，</w:t>
      </w:r>
      <w:r>
        <w:rPr>
          <w:rFonts w:hint="eastAsia" w:ascii="Calibri" w:hAnsi="Calibri" w:eastAsia="宋体" w:cs="宋体"/>
          <w:color w:val="auto"/>
          <w:kern w:val="2"/>
          <w:sz w:val="21"/>
          <w:szCs w:val="22"/>
          <w:lang w:val="en-US" w:eastAsia="zh-CN" w:bidi="ar"/>
        </w:rPr>
        <w:t>改善腹直肌分离状态</w:t>
      </w:r>
    </w:p>
    <w:p>
      <w:pPr>
        <w:keepNext w:val="0"/>
        <w:keepLines w:val="0"/>
        <w:widowControl w:val="0"/>
        <w:numPr>
          <w:ilvl w:val="0"/>
          <w:numId w:val="2"/>
        </w:numPr>
        <w:suppressLineNumbers w:val="0"/>
        <w:spacing w:before="0" w:beforeAutospacing="0" w:after="0" w:afterAutospacing="0" w:line="360" w:lineRule="auto"/>
        <w:ind w:left="425" w:leftChars="0" w:right="0" w:hanging="425" w:firstLineChars="0"/>
        <w:jc w:val="both"/>
        <w:rPr>
          <w:rFonts w:hint="eastAsia" w:ascii="Calibri" w:hAnsi="Calibri" w:eastAsia="宋体" w:cs="宋体"/>
          <w:color w:val="auto"/>
          <w:kern w:val="2"/>
          <w:sz w:val="21"/>
          <w:szCs w:val="22"/>
          <w:lang w:val="en-US" w:eastAsia="zh-CN" w:bidi="ar"/>
        </w:rPr>
      </w:pPr>
      <w:r>
        <w:rPr>
          <w:rFonts w:hint="eastAsia" w:ascii="宋体" w:hAnsi="宋体" w:eastAsia="宋体" w:cs="宋体"/>
          <w:color w:val="auto"/>
          <w:kern w:val="2"/>
          <w:sz w:val="21"/>
          <w:szCs w:val="22"/>
          <w:lang w:val="en-US" w:eastAsia="zh-CN" w:bidi="ar"/>
        </w:rPr>
        <w:t>※</w:t>
      </w:r>
      <w:r>
        <w:rPr>
          <w:rFonts w:hint="eastAsia" w:cs="宋体"/>
          <w:color w:val="auto"/>
          <w:kern w:val="2"/>
          <w:sz w:val="21"/>
          <w:szCs w:val="22"/>
          <w:lang w:val="en-US" w:eastAsia="zh-CN" w:bidi="ar"/>
        </w:rPr>
        <w:t>套筒用于于盆底部位，可帮助患者学习收缩盆底肌，提升盆底肌，</w:t>
      </w:r>
      <w:r>
        <w:rPr>
          <w:rFonts w:hint="eastAsia" w:ascii="Calibri" w:hAnsi="Calibri" w:eastAsia="宋体" w:cs="宋体"/>
          <w:color w:val="auto"/>
          <w:kern w:val="2"/>
          <w:sz w:val="21"/>
          <w:szCs w:val="22"/>
          <w:lang w:val="en-US" w:eastAsia="zh-CN" w:bidi="ar"/>
        </w:rPr>
        <w:t>改善阴道松弛</w:t>
      </w:r>
      <w:r>
        <w:rPr>
          <w:rFonts w:hint="eastAsia" w:cs="宋体"/>
          <w:color w:val="auto"/>
          <w:kern w:val="2"/>
          <w:sz w:val="21"/>
          <w:szCs w:val="22"/>
          <w:lang w:val="en-US" w:eastAsia="zh-CN" w:bidi="ar"/>
        </w:rPr>
        <w:t>，</w:t>
      </w:r>
      <w:r>
        <w:rPr>
          <w:rFonts w:hint="eastAsia" w:ascii="Calibri" w:hAnsi="Calibri" w:eastAsia="宋体" w:cs="宋体"/>
          <w:color w:val="auto"/>
          <w:kern w:val="2"/>
          <w:sz w:val="21"/>
          <w:szCs w:val="22"/>
          <w:lang w:val="en-US" w:eastAsia="zh-CN" w:bidi="ar"/>
        </w:rPr>
        <w:t>使其变得紧致</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2"/>
          <w:lang w:val="en-US" w:eastAsia="zh-CN" w:bidi="ar"/>
        </w:rPr>
      </w:pPr>
    </w:p>
    <w:p>
      <w:pPr>
        <w:pStyle w:val="2"/>
        <w:rPr>
          <w:rFonts w:hint="default"/>
        </w:rPr>
      </w:pPr>
    </w:p>
    <w:p>
      <w:pPr>
        <w:pStyle w:val="2"/>
        <w:rPr>
          <w:rFonts w:hint="default"/>
        </w:rPr>
      </w:pPr>
    </w:p>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B5CF"/>
    <w:multiLevelType w:val="singleLevel"/>
    <w:tmpl w:val="59EEB5CF"/>
    <w:lvl w:ilvl="0" w:tentative="0">
      <w:start w:val="1"/>
      <w:numFmt w:val="decimal"/>
      <w:lvlText w:val="%1."/>
      <w:lvlJc w:val="left"/>
      <w:pPr>
        <w:ind w:left="425" w:hanging="425"/>
      </w:pPr>
      <w:rPr>
        <w:rFonts w:hint="default"/>
      </w:rPr>
    </w:lvl>
  </w:abstractNum>
  <w:abstractNum w:abstractNumId="1">
    <w:nsid w:val="7F22FDA6"/>
    <w:multiLevelType w:val="singleLevel"/>
    <w:tmpl w:val="7F22FDA6"/>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4142533"/>
    <w:rsid w:val="0C9055B6"/>
    <w:rsid w:val="0CEE6A14"/>
    <w:rsid w:val="0D7279C1"/>
    <w:rsid w:val="0FE413DC"/>
    <w:rsid w:val="1162444E"/>
    <w:rsid w:val="11B56CE7"/>
    <w:rsid w:val="141D1933"/>
    <w:rsid w:val="17D441AF"/>
    <w:rsid w:val="1CD0404A"/>
    <w:rsid w:val="20567118"/>
    <w:rsid w:val="22587C1D"/>
    <w:rsid w:val="24E574D0"/>
    <w:rsid w:val="26556455"/>
    <w:rsid w:val="26E71450"/>
    <w:rsid w:val="281F755F"/>
    <w:rsid w:val="2E5E45BC"/>
    <w:rsid w:val="31596968"/>
    <w:rsid w:val="34540B85"/>
    <w:rsid w:val="36CF50B7"/>
    <w:rsid w:val="39A83D55"/>
    <w:rsid w:val="39DE699F"/>
    <w:rsid w:val="3C4E276F"/>
    <w:rsid w:val="3CB56187"/>
    <w:rsid w:val="3DAE77A5"/>
    <w:rsid w:val="42D97F66"/>
    <w:rsid w:val="439747DB"/>
    <w:rsid w:val="453009CA"/>
    <w:rsid w:val="45CE55D0"/>
    <w:rsid w:val="463B24C2"/>
    <w:rsid w:val="47B34975"/>
    <w:rsid w:val="4AC43BB5"/>
    <w:rsid w:val="4F4B389A"/>
    <w:rsid w:val="51A23C60"/>
    <w:rsid w:val="52527665"/>
    <w:rsid w:val="54A83452"/>
    <w:rsid w:val="552E4660"/>
    <w:rsid w:val="57AF75B9"/>
    <w:rsid w:val="5D9A4294"/>
    <w:rsid w:val="5DEA6A35"/>
    <w:rsid w:val="5E73272A"/>
    <w:rsid w:val="5EC95809"/>
    <w:rsid w:val="611D0AAE"/>
    <w:rsid w:val="621F4120"/>
    <w:rsid w:val="63002E91"/>
    <w:rsid w:val="649E29D3"/>
    <w:rsid w:val="678768BB"/>
    <w:rsid w:val="687B5878"/>
    <w:rsid w:val="6ADD2C72"/>
    <w:rsid w:val="6B803D0B"/>
    <w:rsid w:val="6BDF1281"/>
    <w:rsid w:val="747A3206"/>
    <w:rsid w:val="748848EE"/>
    <w:rsid w:val="75746E21"/>
    <w:rsid w:val="7741032D"/>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2021-05-18T01:59:28Z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