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由于医院业务发展需求，本次需要对医院超融合平台5台服务器进行内存扩容，服务器型号aServer-R-2205，每台服务器增加8条32G服务器内存进行扩容。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20" w:type="dxa"/>
        <w:tblInd w:w="93" w:type="dxa"/>
        <w:tblLayout w:type="fixed"/>
        <w:tblCellMar>
          <w:top w:w="0" w:type="dxa"/>
          <w:left w:w="108" w:type="dxa"/>
          <w:bottom w:w="0" w:type="dxa"/>
          <w:right w:w="108" w:type="dxa"/>
        </w:tblCellMar>
      </w:tblPr>
      <w:tblGrid>
        <w:gridCol w:w="1425"/>
        <w:gridCol w:w="1080"/>
        <w:gridCol w:w="6315"/>
      </w:tblGrid>
      <w:tr>
        <w:tblPrEx>
          <w:tblLayout w:type="fixed"/>
          <w:tblCellMar>
            <w:top w:w="0" w:type="dxa"/>
            <w:left w:w="108" w:type="dxa"/>
            <w:bottom w:w="0" w:type="dxa"/>
            <w:right w:w="108"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数量</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技术要求</w:t>
            </w:r>
          </w:p>
        </w:tc>
      </w:tr>
      <w:tr>
        <w:tblPrEx>
          <w:tblLayout w:type="fixed"/>
          <w:tblCellMar>
            <w:top w:w="0" w:type="dxa"/>
            <w:left w:w="108" w:type="dxa"/>
            <w:bottom w:w="0" w:type="dxa"/>
            <w:right w:w="108" w:type="dxa"/>
          </w:tblCellMar>
        </w:tblPrEx>
        <w:trPr>
          <w:trHeight w:val="315"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333333"/>
                <w:kern w:val="0"/>
                <w:szCs w:val="21"/>
                <w:lang w:bidi="ar"/>
              </w:rPr>
            </w:pPr>
            <w:r>
              <w:rPr>
                <w:rFonts w:hint="eastAsia" w:ascii="宋体" w:hAnsi="宋体" w:eastAsia="宋体" w:cs="宋体"/>
                <w:color w:val="333333"/>
                <w:kern w:val="0"/>
                <w:szCs w:val="21"/>
                <w:lang w:bidi="ar"/>
              </w:rPr>
              <w:t>服务器</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内存条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40条</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top"/>
              <w:rPr>
                <w:rFonts w:hint="eastAsia" w:ascii="方正仿宋_GBK" w:hAnsi="方正仿宋_GBK" w:eastAsia="宋体" w:cs="方正仿宋_GBK"/>
                <w:b/>
                <w:bCs/>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 平台：服务器内存</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DDR代数：DDR4 </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容量：32G </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频率： 2933</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 外观特性：普条</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接口类型： RECC内存</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工作电压：1.2V</w:t>
            </w:r>
            <w:r>
              <w:rPr>
                <w:rFonts w:hint="eastAsia" w:ascii="宋体" w:hAnsi="宋体" w:eastAsia="宋体" w:cs="宋体"/>
                <w:color w:val="000000"/>
                <w:kern w:val="0"/>
                <w:szCs w:val="21"/>
                <w:lang w:eastAsia="zh-CN" w:bidi="ar"/>
              </w:rPr>
              <w:t>。</w:t>
            </w:r>
          </w:p>
        </w:tc>
      </w:tr>
      <w:tr>
        <w:tblPrEx>
          <w:tblLayout w:type="fixed"/>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333333"/>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333333"/>
                <w:szCs w:val="21"/>
              </w:rPr>
            </w:pP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top"/>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要求完全兼容现有服务器</w:t>
            </w:r>
          </w:p>
        </w:tc>
      </w:tr>
      <w:tr>
        <w:tblPrEx>
          <w:tblLayout w:type="fixed"/>
          <w:tblCellMar>
            <w:top w:w="0" w:type="dxa"/>
            <w:left w:w="108" w:type="dxa"/>
            <w:bottom w:w="0" w:type="dxa"/>
            <w:right w:w="108" w:type="dxa"/>
          </w:tblCellMar>
        </w:tblPrEx>
        <w:trPr>
          <w:trHeight w:val="682"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333333"/>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333333"/>
                <w:szCs w:val="21"/>
              </w:rPr>
            </w:pP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r>
              <w:rPr>
                <w:rFonts w:ascii="方正仿宋_GBK" w:hAnsi="方正仿宋_GBK" w:eastAsia="方正仿宋_GBK" w:cs="方正仿宋_GBK"/>
                <w:color w:val="000000"/>
                <w:kern w:val="0"/>
                <w:szCs w:val="21"/>
                <w:lang w:bidi="ar"/>
              </w:rPr>
              <w:t>3</w:t>
            </w:r>
            <w:r>
              <w:rPr>
                <w:rFonts w:hint="eastAsia" w:ascii="方正仿宋_GBK" w:hAnsi="方正仿宋_GBK" w:eastAsia="方正仿宋_GBK" w:cs="方正仿宋_GBK"/>
                <w:color w:val="000000"/>
                <w:kern w:val="0"/>
                <w:szCs w:val="21"/>
                <w:lang w:val="en-US" w:eastAsia="zh-CN" w:bidi="ar"/>
              </w:rPr>
              <w:t>.</w:t>
            </w:r>
            <w:r>
              <w:rPr>
                <w:rFonts w:ascii="宋体" w:hAnsi="宋体" w:eastAsia="宋体" w:cs="宋体"/>
                <w:color w:val="000000"/>
                <w:kern w:val="0"/>
                <w:szCs w:val="21"/>
                <w:lang w:bidi="ar"/>
              </w:rPr>
              <w:t>内存条安装医院业务不能</w:t>
            </w:r>
            <w:r>
              <w:rPr>
                <w:rFonts w:hint="eastAsia" w:ascii="宋体" w:hAnsi="宋体" w:eastAsia="宋体" w:cs="宋体"/>
                <w:color w:val="000000"/>
                <w:kern w:val="0"/>
                <w:szCs w:val="21"/>
                <w:lang w:bidi="ar"/>
              </w:rPr>
              <w:t>中断</w:t>
            </w:r>
          </w:p>
        </w:tc>
      </w:tr>
      <w:tr>
        <w:tblPrEx>
          <w:tblLayout w:type="fixed"/>
          <w:tblCellMar>
            <w:top w:w="0" w:type="dxa"/>
            <w:left w:w="108" w:type="dxa"/>
            <w:bottom w:w="0" w:type="dxa"/>
            <w:right w:w="108" w:type="dxa"/>
          </w:tblCellMar>
        </w:tblPrEx>
        <w:trPr>
          <w:trHeight w:val="682"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要求</w:t>
            </w:r>
          </w:p>
        </w:tc>
        <w:tc>
          <w:tcPr>
            <w:tcW w:w="7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项目实施周期：1月</w:t>
            </w:r>
          </w:p>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设备质保期：3年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bookmarkStart w:id="3" w:name="_GoBack"/>
      <w:bookmarkEnd w:id="3"/>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2021年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2.各参会供应商如对此项目有质疑、投诉，请于采购时间截止前即2021年5月21日15：00点前以书面形式向纪检监察室提出，超期不予受理。纪检监察室联系人：邹老师69517102。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62444E"/>
    <w:rsid w:val="117F2E61"/>
    <w:rsid w:val="13A77585"/>
    <w:rsid w:val="17053C88"/>
    <w:rsid w:val="170562A4"/>
    <w:rsid w:val="17D441AF"/>
    <w:rsid w:val="1CD0404A"/>
    <w:rsid w:val="1D322B81"/>
    <w:rsid w:val="1E1B6F14"/>
    <w:rsid w:val="1E315678"/>
    <w:rsid w:val="1F13725E"/>
    <w:rsid w:val="20567118"/>
    <w:rsid w:val="24E574D0"/>
    <w:rsid w:val="26556455"/>
    <w:rsid w:val="281F755F"/>
    <w:rsid w:val="28402FD3"/>
    <w:rsid w:val="2C4E783C"/>
    <w:rsid w:val="39A83D55"/>
    <w:rsid w:val="39DE699F"/>
    <w:rsid w:val="3B8F401D"/>
    <w:rsid w:val="3C4E276F"/>
    <w:rsid w:val="3CB56187"/>
    <w:rsid w:val="3DAE77A5"/>
    <w:rsid w:val="439747DB"/>
    <w:rsid w:val="45CE55D0"/>
    <w:rsid w:val="463B24C2"/>
    <w:rsid w:val="47B34975"/>
    <w:rsid w:val="47DA2A11"/>
    <w:rsid w:val="4AC43BB5"/>
    <w:rsid w:val="4BA04C0E"/>
    <w:rsid w:val="4E325B91"/>
    <w:rsid w:val="4F4B389A"/>
    <w:rsid w:val="51A23C60"/>
    <w:rsid w:val="52527665"/>
    <w:rsid w:val="54A83452"/>
    <w:rsid w:val="552E4660"/>
    <w:rsid w:val="57AF75B9"/>
    <w:rsid w:val="5CCC3A4B"/>
    <w:rsid w:val="5D9A4294"/>
    <w:rsid w:val="5E1967D1"/>
    <w:rsid w:val="5E73272A"/>
    <w:rsid w:val="5E886BC3"/>
    <w:rsid w:val="611D0AAE"/>
    <w:rsid w:val="616A08BA"/>
    <w:rsid w:val="61F94671"/>
    <w:rsid w:val="621F4120"/>
    <w:rsid w:val="649E29D3"/>
    <w:rsid w:val="657D120C"/>
    <w:rsid w:val="6ADD2C72"/>
    <w:rsid w:val="6B803D0B"/>
    <w:rsid w:val="702D6E9D"/>
    <w:rsid w:val="734459B9"/>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2021-05-18T07:13:04Z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