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Segoe UI"/>
          <w:b/>
          <w:bCs/>
          <w:color w:val="333333"/>
          <w:kern w:val="0"/>
          <w:sz w:val="28"/>
          <w:szCs w:val="28"/>
        </w:rPr>
      </w:pPr>
      <w:r>
        <w:rPr>
          <w:rFonts w:hint="eastAsia" w:ascii="宋体" w:hAnsi="宋体" w:eastAsia="宋体" w:cs="Segoe UI"/>
          <w:b/>
          <w:bCs/>
          <w:color w:val="333333"/>
          <w:kern w:val="0"/>
          <w:sz w:val="28"/>
          <w:szCs w:val="28"/>
        </w:rPr>
        <w:t>附件</w:t>
      </w:r>
      <w:r>
        <w:rPr>
          <w:rFonts w:ascii="Segoe UI" w:hAnsi="Segoe UI" w:eastAsia="宋体" w:cs="Segoe UI"/>
          <w:b/>
          <w:bCs/>
          <w:color w:val="333333"/>
          <w:kern w:val="0"/>
          <w:sz w:val="28"/>
          <w:szCs w:val="28"/>
        </w:rPr>
        <w:t>2</w:t>
      </w:r>
      <w:r>
        <w:rPr>
          <w:rFonts w:hint="eastAsia" w:ascii="宋体" w:hAnsi="宋体" w:eastAsia="宋体" w:cs="Segoe UI"/>
          <w:b/>
          <w:bCs/>
          <w:color w:val="333333"/>
          <w:kern w:val="0"/>
          <w:sz w:val="28"/>
          <w:szCs w:val="28"/>
        </w:rPr>
        <w:t>：评审办法（评分细则表）</w:t>
      </w:r>
    </w:p>
    <w:tbl>
      <w:tblPr>
        <w:tblStyle w:val="7"/>
        <w:tblW w:w="9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305"/>
        <w:gridCol w:w="735"/>
        <w:gridCol w:w="5680"/>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tcPr>
          <w:p>
            <w:pPr>
              <w:widowControl w:val="0"/>
              <w:numPr>
                <w:ilvl w:val="0"/>
                <w:numId w:val="0"/>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序号</w:t>
            </w:r>
          </w:p>
        </w:tc>
        <w:tc>
          <w:tcPr>
            <w:tcW w:w="1305" w:type="dxa"/>
          </w:tcPr>
          <w:p>
            <w:pPr>
              <w:widowControl w:val="0"/>
              <w:numPr>
                <w:ilvl w:val="0"/>
                <w:numId w:val="0"/>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评标因素及权重</w:t>
            </w:r>
          </w:p>
        </w:tc>
        <w:tc>
          <w:tcPr>
            <w:tcW w:w="735" w:type="dxa"/>
          </w:tcPr>
          <w:p>
            <w:pPr>
              <w:widowControl w:val="0"/>
              <w:numPr>
                <w:ilvl w:val="0"/>
                <w:numId w:val="0"/>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分值</w:t>
            </w:r>
          </w:p>
        </w:tc>
        <w:tc>
          <w:tcPr>
            <w:tcW w:w="5680" w:type="dxa"/>
          </w:tcPr>
          <w:p>
            <w:pPr>
              <w:widowControl w:val="0"/>
              <w:numPr>
                <w:ilvl w:val="0"/>
                <w:numId w:val="0"/>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评分标准</w:t>
            </w:r>
          </w:p>
        </w:tc>
        <w:tc>
          <w:tcPr>
            <w:tcW w:w="1022" w:type="dxa"/>
          </w:tcPr>
          <w:p>
            <w:pPr>
              <w:widowControl w:val="0"/>
              <w:numPr>
                <w:ilvl w:val="0"/>
                <w:numId w:val="0"/>
              </w:num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widowControl w:val="0"/>
              <w:numPr>
                <w:ilvl w:val="0"/>
                <w:numId w:val="0"/>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w:t>
            </w:r>
          </w:p>
        </w:tc>
        <w:tc>
          <w:tcPr>
            <w:tcW w:w="1305" w:type="dxa"/>
            <w:vAlign w:val="center"/>
          </w:tcPr>
          <w:p>
            <w:pPr>
              <w:widowControl w:val="0"/>
              <w:numPr>
                <w:ilvl w:val="0"/>
                <w:numId w:val="0"/>
              </w:num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报价</w:t>
            </w:r>
          </w:p>
        </w:tc>
        <w:tc>
          <w:tcPr>
            <w:tcW w:w="735" w:type="dxa"/>
            <w:vAlign w:val="center"/>
          </w:tcPr>
          <w:p>
            <w:pPr>
              <w:widowControl w:val="0"/>
              <w:numPr>
                <w:ilvl w:val="0"/>
                <w:numId w:val="0"/>
              </w:numPr>
              <w:jc w:val="center"/>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30</w:t>
            </w:r>
          </w:p>
        </w:tc>
        <w:tc>
          <w:tcPr>
            <w:tcW w:w="5680" w:type="dxa"/>
            <w:vAlign w:val="center"/>
          </w:tcPr>
          <w:p>
            <w:pPr>
              <w:widowControl w:val="0"/>
              <w:numPr>
                <w:ilvl w:val="0"/>
                <w:numId w:val="1"/>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以满足磋商文件要求且报价最低的报价为评审基准价，其价格分为满分。其他供应商的价格分统按照下列公式计算: 报价得分=(评标基准价 /投标报价)分值;</w:t>
            </w:r>
          </w:p>
          <w:p>
            <w:pPr>
              <w:widowControl w:val="0"/>
              <w:numPr>
                <w:ilvl w:val="0"/>
                <w:numId w:val="0"/>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2、对小型和微型企业(含监狱企业、残疾人福利性单位)的报价(如涉及) 给予 10%的扣除，用扣除后的价格参与评审。</w:t>
            </w:r>
          </w:p>
        </w:tc>
        <w:tc>
          <w:tcPr>
            <w:tcW w:w="1022" w:type="dxa"/>
          </w:tcPr>
          <w:p>
            <w:pPr>
              <w:widowControl w:val="0"/>
              <w:numPr>
                <w:ilvl w:val="0"/>
                <w:numId w:val="0"/>
              </w:numPr>
              <w:jc w:val="left"/>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widowControl w:val="0"/>
              <w:numPr>
                <w:ilvl w:val="0"/>
                <w:numId w:val="0"/>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w:t>
            </w:r>
          </w:p>
        </w:tc>
        <w:tc>
          <w:tcPr>
            <w:tcW w:w="1305" w:type="dxa"/>
            <w:vAlign w:val="center"/>
          </w:tcPr>
          <w:p>
            <w:pPr>
              <w:widowControl w:val="0"/>
              <w:numPr>
                <w:ilvl w:val="0"/>
                <w:numId w:val="0"/>
              </w:num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项目需求分析</w:t>
            </w:r>
          </w:p>
        </w:tc>
        <w:tc>
          <w:tcPr>
            <w:tcW w:w="735" w:type="dxa"/>
            <w:vAlign w:val="center"/>
          </w:tcPr>
          <w:p>
            <w:pPr>
              <w:widowControl w:val="0"/>
              <w:numPr>
                <w:ilvl w:val="0"/>
                <w:numId w:val="0"/>
              </w:numPr>
              <w:jc w:val="center"/>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15</w:t>
            </w:r>
          </w:p>
        </w:tc>
        <w:tc>
          <w:tcPr>
            <w:tcW w:w="5680" w:type="dxa"/>
            <w:vAlign w:val="center"/>
          </w:tcPr>
          <w:p>
            <w:pPr>
              <w:widowControl w:val="0"/>
              <w:numPr>
                <w:ilvl w:val="0"/>
                <w:numId w:val="0"/>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根据供应商针对本项目提供的项目需求分析进行评审，包含但不限于:1）对本项目实施目的及意义的理解与分析:2)对本项目实施所依据的法律法规、行业标准及规范的分析与理解:3)对项目现状难点和重点分析。分析内容齐全，完全响应项目需求的得·15·分，每缺少一项内容或内容错误(内容错误是指: 项目名称、·实施地点、提供的方案与本项目无关》的扣·5 分;每有一项内容缺陷《缺陷是指: 非专门针对本项目或不适用项目特性的情形、内容不完整、套用其他项目管理制度、内容前后矛盾、涉及的国家标准和行业规范与本项目要求形、内容不完整、套用其他项目管理制度、内容前后矛盾、涉及的国家标准和行业规范与本项目要求不一致、不利于项目实施、不可能实现的情形等任意一种情况)的扣3·分，扣完为止，无不得分</w:t>
            </w:r>
          </w:p>
        </w:tc>
        <w:tc>
          <w:tcPr>
            <w:tcW w:w="1022" w:type="dxa"/>
          </w:tcPr>
          <w:p>
            <w:pPr>
              <w:widowControl w:val="0"/>
              <w:numPr>
                <w:ilvl w:val="0"/>
                <w:numId w:val="0"/>
              </w:numPr>
              <w:jc w:val="left"/>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widowControl w:val="0"/>
              <w:numPr>
                <w:ilvl w:val="0"/>
                <w:numId w:val="0"/>
              </w:numPr>
              <w:jc w:val="left"/>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w:t>
            </w:r>
          </w:p>
        </w:tc>
        <w:tc>
          <w:tcPr>
            <w:tcW w:w="1305" w:type="dxa"/>
            <w:vAlign w:val="center"/>
          </w:tcPr>
          <w:p>
            <w:pPr>
              <w:widowControl w:val="0"/>
              <w:numPr>
                <w:ilvl w:val="0"/>
                <w:numId w:val="0"/>
              </w:num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项目实施计划</w:t>
            </w:r>
          </w:p>
        </w:tc>
        <w:tc>
          <w:tcPr>
            <w:tcW w:w="735" w:type="dxa"/>
            <w:vAlign w:val="center"/>
          </w:tcPr>
          <w:p>
            <w:pPr>
              <w:widowControl w:val="0"/>
              <w:numPr>
                <w:ilvl w:val="0"/>
                <w:numId w:val="0"/>
              </w:numPr>
              <w:jc w:val="center"/>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15</w:t>
            </w:r>
          </w:p>
        </w:tc>
        <w:tc>
          <w:tcPr>
            <w:tcW w:w="5680" w:type="dxa"/>
            <w:vAlign w:val="center"/>
          </w:tcPr>
          <w:p>
            <w:pPr>
              <w:widowControl w:val="0"/>
              <w:numPr>
                <w:ilvl w:val="0"/>
                <w:numId w:val="0"/>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根据供应商针对本项目提供的应急方案进行综合评分，包含但不限于，1)项目进度计划，且计划中至少应列出整体时间计划、各工作内容分项计划进度，并进行分析说明、2)在本项目中可能存在的现根据供应商针对本项目提供的应急方案进行综合评分，包含但不限于，3)项目进度计划，且计划中至少应列出整体时间计划、各工作内容分项计划进度，并进行分析说明、4)在本项目中可能存在的现准和行业规范与本项目要求不一致、不利于项目实施、不可能实现的情形等任意一种情况) 的扣·5分，扣完为止，无不得分。</w:t>
            </w:r>
          </w:p>
        </w:tc>
        <w:tc>
          <w:tcPr>
            <w:tcW w:w="1022" w:type="dxa"/>
          </w:tcPr>
          <w:p>
            <w:pPr>
              <w:widowControl w:val="0"/>
              <w:numPr>
                <w:ilvl w:val="0"/>
                <w:numId w:val="0"/>
              </w:numPr>
              <w:jc w:val="left"/>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widowControl w:val="0"/>
              <w:numPr>
                <w:ilvl w:val="0"/>
                <w:numId w:val="0"/>
              </w:numPr>
              <w:jc w:val="left"/>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w:t>
            </w:r>
          </w:p>
        </w:tc>
        <w:tc>
          <w:tcPr>
            <w:tcW w:w="1305" w:type="dxa"/>
            <w:vAlign w:val="center"/>
          </w:tcPr>
          <w:p>
            <w:pPr>
              <w:widowControl w:val="0"/>
              <w:numPr>
                <w:ilvl w:val="0"/>
                <w:numId w:val="0"/>
              </w:num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后续服务安排方案</w:t>
            </w:r>
          </w:p>
        </w:tc>
        <w:tc>
          <w:tcPr>
            <w:tcW w:w="735" w:type="dxa"/>
            <w:vAlign w:val="center"/>
          </w:tcPr>
          <w:p>
            <w:pPr>
              <w:widowControl w:val="0"/>
              <w:numPr>
                <w:ilvl w:val="0"/>
                <w:numId w:val="0"/>
              </w:numPr>
              <w:jc w:val="center"/>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15</w:t>
            </w:r>
          </w:p>
        </w:tc>
        <w:tc>
          <w:tcPr>
            <w:tcW w:w="5680" w:type="dxa"/>
            <w:vAlign w:val="center"/>
          </w:tcPr>
          <w:p>
            <w:pPr>
              <w:widowControl w:val="0"/>
              <w:numPr>
                <w:ilvl w:val="0"/>
                <w:numId w:val="0"/>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根据供应商针对本项目提供的后续服务安排方案综合评分，包含但不限于，1)项目成果提交保障措施;2)项目服务承诺:3)项目资料收集方案等。内容齐全，充全响应项目需求的得·15·分，每缺少一项内容或内容错误(内容错误是指，项目名称、实施地点、提供的方案与本项目无关》的扣6分，每有一项内容缺陷(缺陷是指:非专门针对本项目或不适用项目特性的情形、内容不完整、套用其他项目管理制度、内容前后矛盾、涉及的国家标准和行业规范与本项目要求不一致、不利于项目实施、不可能实现的情形等任意一种情况)的扣·5</w:t>
            </w:r>
            <w:bookmarkStart w:id="0" w:name="_GoBack"/>
            <w:bookmarkEnd w:id="0"/>
            <w:r>
              <w:rPr>
                <w:rFonts w:hint="eastAsia" w:ascii="宋体" w:hAnsi="宋体" w:eastAsia="宋体" w:cs="宋体"/>
                <w:sz w:val="22"/>
                <w:szCs w:val="22"/>
                <w:vertAlign w:val="baseline"/>
                <w:lang w:val="en-US" w:eastAsia="zh-CN"/>
              </w:rPr>
              <w:t>·分，扣完为止，无不得分。</w:t>
            </w:r>
          </w:p>
        </w:tc>
        <w:tc>
          <w:tcPr>
            <w:tcW w:w="1022" w:type="dxa"/>
          </w:tcPr>
          <w:p>
            <w:pPr>
              <w:widowControl w:val="0"/>
              <w:numPr>
                <w:ilvl w:val="0"/>
                <w:numId w:val="0"/>
              </w:numPr>
              <w:jc w:val="left"/>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widowControl w:val="0"/>
              <w:numPr>
                <w:ilvl w:val="0"/>
                <w:numId w:val="0"/>
              </w:numPr>
              <w:jc w:val="left"/>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w:t>
            </w:r>
          </w:p>
        </w:tc>
        <w:tc>
          <w:tcPr>
            <w:tcW w:w="1305" w:type="dxa"/>
            <w:vAlign w:val="center"/>
          </w:tcPr>
          <w:p>
            <w:pPr>
              <w:widowControl w:val="0"/>
              <w:numPr>
                <w:ilvl w:val="0"/>
                <w:numId w:val="0"/>
              </w:num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项目人员职责划分</w:t>
            </w:r>
          </w:p>
        </w:tc>
        <w:tc>
          <w:tcPr>
            <w:tcW w:w="735" w:type="dxa"/>
            <w:vAlign w:val="center"/>
          </w:tcPr>
          <w:p>
            <w:pPr>
              <w:widowControl w:val="0"/>
              <w:numPr>
                <w:ilvl w:val="0"/>
                <w:numId w:val="0"/>
              </w:num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w:t>
            </w:r>
          </w:p>
        </w:tc>
        <w:tc>
          <w:tcPr>
            <w:tcW w:w="5680" w:type="dxa"/>
            <w:vAlign w:val="center"/>
          </w:tcPr>
          <w:p>
            <w:pPr>
              <w:widowControl w:val="0"/>
              <w:numPr>
                <w:ilvl w:val="0"/>
                <w:numId w:val="0"/>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根据供应商提供的项目人员职责划分进行综合评分，包含但不限于:1)项目团队组织保障方案，且方案中至少应明确提出团队管理架构与职责分工;2)有明确的人员配置服务指施与制度，内容齐全方案合理得 10分每缺少一项内容或内容错误(内容错误是指:项目名称、实施地点、5提供的方案与本项目无关)的扣5分;每有一项内容缺陷(缺陷是指:非专门针对本项目或不适用项目特性的情形、内容不完整、套用其他项目管理制度、内容前后矛盾、不可能实现的情形等任意一种情况)的扣2.5分，扣完为止，无不得分</w:t>
            </w:r>
          </w:p>
        </w:tc>
        <w:tc>
          <w:tcPr>
            <w:tcW w:w="1022" w:type="dxa"/>
          </w:tcPr>
          <w:p>
            <w:pPr>
              <w:widowControl w:val="0"/>
              <w:numPr>
                <w:ilvl w:val="0"/>
                <w:numId w:val="0"/>
              </w:numPr>
              <w:jc w:val="left"/>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widowControl w:val="0"/>
              <w:numPr>
                <w:ilvl w:val="0"/>
                <w:numId w:val="0"/>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6</w:t>
            </w:r>
          </w:p>
        </w:tc>
        <w:tc>
          <w:tcPr>
            <w:tcW w:w="1305" w:type="dxa"/>
            <w:vAlign w:val="center"/>
          </w:tcPr>
          <w:p>
            <w:pPr>
              <w:widowControl w:val="0"/>
              <w:numPr>
                <w:ilvl w:val="0"/>
                <w:numId w:val="0"/>
              </w:num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公司能力</w:t>
            </w:r>
          </w:p>
        </w:tc>
        <w:tc>
          <w:tcPr>
            <w:tcW w:w="735" w:type="dxa"/>
            <w:vAlign w:val="center"/>
          </w:tcPr>
          <w:p>
            <w:pPr>
              <w:widowControl w:val="0"/>
              <w:numPr>
                <w:ilvl w:val="0"/>
                <w:numId w:val="0"/>
              </w:numPr>
              <w:jc w:val="center"/>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15</w:t>
            </w:r>
          </w:p>
        </w:tc>
        <w:tc>
          <w:tcPr>
            <w:tcW w:w="5680" w:type="dxa"/>
            <w:vAlign w:val="center"/>
          </w:tcPr>
          <w:p>
            <w:pPr>
              <w:widowControl w:val="0"/>
              <w:numPr>
                <w:ilvl w:val="0"/>
                <w:numId w:val="0"/>
              </w:numPr>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供应商 2020 年8月1日《含)至今每有一个类似业绩的得5分，最多得 15 分，未提供则不得分。提供中标(成交)通知书或有效合同复印件，并加盖供应商公章</w:t>
            </w:r>
          </w:p>
        </w:tc>
        <w:tc>
          <w:tcPr>
            <w:tcW w:w="1022" w:type="dxa"/>
          </w:tcPr>
          <w:p>
            <w:pPr>
              <w:widowControl w:val="0"/>
              <w:numPr>
                <w:ilvl w:val="0"/>
                <w:numId w:val="0"/>
              </w:numPr>
              <w:jc w:val="left"/>
              <w:rPr>
                <w:rFonts w:hint="eastAsia" w:ascii="宋体" w:hAnsi="宋体" w:eastAsia="宋体" w:cs="宋体"/>
                <w:sz w:val="21"/>
                <w:szCs w:val="21"/>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1A826F"/>
    <w:multiLevelType w:val="singleLevel"/>
    <w:tmpl w:val="EC1A826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9B1549"/>
    <w:rsid w:val="00266EDD"/>
    <w:rsid w:val="00325B00"/>
    <w:rsid w:val="009B1549"/>
    <w:rsid w:val="00E0253D"/>
    <w:rsid w:val="00E32248"/>
    <w:rsid w:val="026D7057"/>
    <w:rsid w:val="077F2EEF"/>
    <w:rsid w:val="0D2115A0"/>
    <w:rsid w:val="0E9321A3"/>
    <w:rsid w:val="0F0D621F"/>
    <w:rsid w:val="121A5AE8"/>
    <w:rsid w:val="13D45246"/>
    <w:rsid w:val="14BA00E0"/>
    <w:rsid w:val="17C73756"/>
    <w:rsid w:val="19257FC4"/>
    <w:rsid w:val="19B54AC4"/>
    <w:rsid w:val="1A07277D"/>
    <w:rsid w:val="1A752ADC"/>
    <w:rsid w:val="1C71487A"/>
    <w:rsid w:val="1EE27400"/>
    <w:rsid w:val="1F145694"/>
    <w:rsid w:val="1F322A07"/>
    <w:rsid w:val="1F6F331C"/>
    <w:rsid w:val="1F9C47F0"/>
    <w:rsid w:val="20013994"/>
    <w:rsid w:val="2B2B318F"/>
    <w:rsid w:val="2E224167"/>
    <w:rsid w:val="2FC32380"/>
    <w:rsid w:val="34630A19"/>
    <w:rsid w:val="34A71C39"/>
    <w:rsid w:val="3720182B"/>
    <w:rsid w:val="37506E85"/>
    <w:rsid w:val="38676966"/>
    <w:rsid w:val="3A6B7A0D"/>
    <w:rsid w:val="3D210612"/>
    <w:rsid w:val="4266269B"/>
    <w:rsid w:val="47B74145"/>
    <w:rsid w:val="49731971"/>
    <w:rsid w:val="4AC04D1E"/>
    <w:rsid w:val="4BC74E5B"/>
    <w:rsid w:val="4C4B2D5D"/>
    <w:rsid w:val="4E813938"/>
    <w:rsid w:val="50CB5EAD"/>
    <w:rsid w:val="55243A7A"/>
    <w:rsid w:val="559418DD"/>
    <w:rsid w:val="56625ED1"/>
    <w:rsid w:val="5E5D03CA"/>
    <w:rsid w:val="600B2479"/>
    <w:rsid w:val="61DE6235"/>
    <w:rsid w:val="644E44FC"/>
    <w:rsid w:val="64A67A59"/>
    <w:rsid w:val="65006F2E"/>
    <w:rsid w:val="660B3AA0"/>
    <w:rsid w:val="66C94E3D"/>
    <w:rsid w:val="66EA756F"/>
    <w:rsid w:val="68A37079"/>
    <w:rsid w:val="6A713504"/>
    <w:rsid w:val="6B4D195F"/>
    <w:rsid w:val="6C1E2DCE"/>
    <w:rsid w:val="722A64EC"/>
    <w:rsid w:val="73094365"/>
    <w:rsid w:val="74866797"/>
    <w:rsid w:val="75DC4CBC"/>
    <w:rsid w:val="775A49FF"/>
    <w:rsid w:val="7DBD1172"/>
    <w:rsid w:val="7FBA6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2"/>
    <w:basedOn w:val="1"/>
    <w:next w:val="1"/>
    <w:qFormat/>
    <w:uiPriority w:val="0"/>
    <w:pPr>
      <w:keepNext/>
      <w:keepLines/>
      <w:spacing w:before="120" w:after="120"/>
      <w:outlineLvl w:val="1"/>
    </w:pPr>
    <w:rPr>
      <w:rFonts w:ascii="Arial" w:hAnsi="Arial" w:eastAsia="仿宋"/>
      <w:b/>
      <w:bCs/>
      <w:sz w:val="28"/>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Body Text Indent"/>
    <w:basedOn w:val="1"/>
    <w:qFormat/>
    <w:uiPriority w:val="99"/>
    <w:pPr>
      <w:spacing w:after="120"/>
      <w:ind w:left="420" w:leftChars="200"/>
    </w:pPr>
  </w:style>
  <w:style w:type="paragraph" w:styleId="5">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161</Words>
  <Characters>923</Characters>
  <Lines>7</Lines>
  <Paragraphs>2</Paragraphs>
  <TotalTime>8</TotalTime>
  <ScaleCrop>false</ScaleCrop>
  <LinksUpToDate>false</LinksUpToDate>
  <CharactersWithSpaces>1082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2023-05-31T09:31:00Z</dcterms:created>
  <dc:creator>peng zhou</dc:creator>
  <cp:lastModifiedBy>昊蔚</cp:lastModifiedBy>
  <cp:lastPrinted>2023-10-26T07:01:00Z</cp:lastPrinted>
  <dcterms:modified xsi:type="dcterms:W3CDTF">2023-10-31T08:44:16Z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